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304989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L3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5.9.2.1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last RAN4 meeting, spread discussion was held focus on L3 part of unknown FR2 SCell activation reduction. So as to pay more attention on the essential issues, the priority of all issues were identified, so all the issues with high priority should be continuously discussed. Beside the priority identification, some other agreements were also achieved in [1].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120"/>
              <w:rPr>
                <w:rFonts w:eastAsia="宋体"/>
              </w:rPr>
            </w:pPr>
            <w:r>
              <w:rPr>
                <w:rFonts w:eastAsia="宋体"/>
                <w:highlight w:val="green"/>
              </w:rPr>
              <w:t>Agreement</w:t>
            </w:r>
            <w:r>
              <w:rPr>
                <w:rFonts w:eastAsia="宋体"/>
              </w:rPr>
              <w:t>:</w:t>
            </w:r>
          </w:p>
          <w:p>
            <w:pPr>
              <w:pStyle w:val="6"/>
              <w:keepNext/>
              <w:spacing w:before="0" w:after="0"/>
              <w:jc w:val="center"/>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Summary for candidate solutions for FR2 unknown SCell activation enhancement</w:t>
            </w:r>
          </w:p>
          <w:tbl>
            <w:tblPr>
              <w:tblStyle w:val="17"/>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2127"/>
              <w:gridCol w:w="1463"/>
              <w:gridCol w:w="1463"/>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65" w:type="dxa"/>
                  <w:shd w:val="clear" w:color="auto" w:fill="BDD6EE" w:themeFill="accent1" w:themeFillTint="66"/>
                </w:tcPr>
                <w:p>
                  <w:pPr>
                    <w:overflowPunct w:val="0"/>
                    <w:autoSpaceDE w:val="0"/>
                    <w:autoSpaceDN w:val="0"/>
                    <w:adjustRightInd w:val="0"/>
                    <w:spacing w:after="0"/>
                    <w:textAlignment w:val="baseline"/>
                    <w:rPr>
                      <w:b/>
                      <w:bCs/>
                      <w:sz w:val="16"/>
                      <w:szCs w:val="16"/>
                    </w:rPr>
                  </w:pPr>
                  <w:r>
                    <w:rPr>
                      <w:b/>
                      <w:bCs/>
                      <w:sz w:val="16"/>
                      <w:szCs w:val="16"/>
                    </w:rPr>
                    <w:t>Enhancement part</w:t>
                  </w:r>
                </w:p>
              </w:tc>
              <w:tc>
                <w:tcPr>
                  <w:tcW w:w="1530" w:type="dxa"/>
                  <w:shd w:val="clear" w:color="auto" w:fill="BDD6EE" w:themeFill="accent1" w:themeFillTint="66"/>
                </w:tcPr>
                <w:p>
                  <w:pPr>
                    <w:overflowPunct w:val="0"/>
                    <w:autoSpaceDE w:val="0"/>
                    <w:autoSpaceDN w:val="0"/>
                    <w:adjustRightInd w:val="0"/>
                    <w:spacing w:after="0"/>
                    <w:textAlignment w:val="baseline"/>
                    <w:rPr>
                      <w:b/>
                      <w:bCs/>
                      <w:sz w:val="16"/>
                      <w:szCs w:val="16"/>
                    </w:rPr>
                  </w:pPr>
                  <w:r>
                    <w:rPr>
                      <w:b/>
                      <w:bCs/>
                      <w:sz w:val="16"/>
                      <w:szCs w:val="16"/>
                    </w:rPr>
                    <w:t>Issue index in topic summary (R4-2302769)</w:t>
                  </w:r>
                </w:p>
              </w:tc>
              <w:tc>
                <w:tcPr>
                  <w:tcW w:w="3138" w:type="dxa"/>
                  <w:gridSpan w:val="2"/>
                  <w:shd w:val="clear" w:color="auto" w:fill="BDD6EE" w:themeFill="accent1" w:themeFillTint="66"/>
                </w:tcPr>
                <w:p>
                  <w:pPr>
                    <w:overflowPunct w:val="0"/>
                    <w:autoSpaceDE w:val="0"/>
                    <w:autoSpaceDN w:val="0"/>
                    <w:adjustRightInd w:val="0"/>
                    <w:spacing w:after="0"/>
                    <w:textAlignment w:val="baseline"/>
                    <w:rPr>
                      <w:b/>
                      <w:bCs/>
                      <w:sz w:val="16"/>
                      <w:szCs w:val="16"/>
                    </w:rPr>
                  </w:pPr>
                  <w:r>
                    <w:rPr>
                      <w:b/>
                      <w:bCs/>
                      <w:sz w:val="16"/>
                      <w:szCs w:val="16"/>
                    </w:rPr>
                    <w:t>Enhancement solution</w:t>
                  </w:r>
                </w:p>
              </w:tc>
              <w:tc>
                <w:tcPr>
                  <w:tcW w:w="2926" w:type="dxa"/>
                  <w:shd w:val="clear" w:color="auto" w:fill="BDD6EE" w:themeFill="accent1" w:themeFillTint="66"/>
                </w:tcPr>
                <w:p>
                  <w:pPr>
                    <w:overflowPunct w:val="0"/>
                    <w:autoSpaceDE w:val="0"/>
                    <w:autoSpaceDN w:val="0"/>
                    <w:adjustRightInd w:val="0"/>
                    <w:spacing w:after="180"/>
                    <w:textAlignment w:val="baseline"/>
                    <w:rPr>
                      <w:b/>
                      <w:bCs/>
                      <w:sz w:val="16"/>
                      <w:szCs w:val="16"/>
                    </w:rPr>
                  </w:pPr>
                  <w:r>
                    <w:rPr>
                      <w:b/>
                      <w:bCs/>
                      <w:sz w:val="16"/>
                      <w:szCs w:val="16"/>
                    </w:rPr>
                    <w:t>RAN4 decision on whether to continue discuss this enhancement solution in 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65" w:type="dxa"/>
                  <w:vMerge w:val="restart"/>
                </w:tcPr>
                <w:p>
                  <w:pPr>
                    <w:overflowPunct w:val="0"/>
                    <w:autoSpaceDE w:val="0"/>
                    <w:autoSpaceDN w:val="0"/>
                    <w:adjustRightInd w:val="0"/>
                    <w:spacing w:after="0"/>
                    <w:textAlignment w:val="baseline"/>
                    <w:rPr>
                      <w:sz w:val="16"/>
                      <w:szCs w:val="16"/>
                    </w:rPr>
                  </w:pPr>
                  <w:r>
                    <w:rPr>
                      <w:sz w:val="16"/>
                      <w:szCs w:val="16"/>
                    </w:rPr>
                    <w:t>L3 part</w:t>
                  </w:r>
                </w:p>
              </w:tc>
              <w:tc>
                <w:tcPr>
                  <w:tcW w:w="1530" w:type="dxa"/>
                </w:tcPr>
                <w:p>
                  <w:pPr>
                    <w:overflowPunct w:val="0"/>
                    <w:autoSpaceDE w:val="0"/>
                    <w:autoSpaceDN w:val="0"/>
                    <w:adjustRightInd w:val="0"/>
                    <w:spacing w:after="0"/>
                    <w:textAlignment w:val="baseline"/>
                    <w:rPr>
                      <w:sz w:val="16"/>
                      <w:szCs w:val="16"/>
                    </w:rPr>
                  </w:pPr>
                  <w:r>
                    <w:rPr>
                      <w:sz w:val="16"/>
                      <w:szCs w:val="16"/>
                    </w:rPr>
                    <w:t>Issue 1-1-1, Issue 1-1-1a</w:t>
                  </w:r>
                </w:p>
              </w:tc>
              <w:tc>
                <w:tcPr>
                  <w:tcW w:w="3138" w:type="dxa"/>
                  <w:gridSpan w:val="2"/>
                </w:tcPr>
                <w:p>
                  <w:pPr>
                    <w:overflowPunct w:val="0"/>
                    <w:autoSpaceDE w:val="0"/>
                    <w:autoSpaceDN w:val="0"/>
                    <w:adjustRightInd w:val="0"/>
                    <w:spacing w:after="0"/>
                    <w:textAlignment w:val="baseline"/>
                    <w:rPr>
                      <w:sz w:val="16"/>
                      <w:szCs w:val="16"/>
                    </w:rPr>
                  </w:pPr>
                  <w:r>
                    <w:rPr>
                      <w:sz w:val="16"/>
                      <w:szCs w:val="16"/>
                    </w:rPr>
                    <w:t>New sub-states for known/unknown state for FR2 SCell</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Discussed in CR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1-1-2/1-1-3/1-1-4/1-1-5/1-1-6</w:t>
                  </w:r>
                </w:p>
              </w:tc>
              <w:tc>
                <w:tcPr>
                  <w:tcW w:w="3138" w:type="dxa"/>
                  <w:gridSpan w:val="2"/>
                </w:tcPr>
                <w:p>
                  <w:pPr>
                    <w:overflowPunct w:val="0"/>
                    <w:autoSpaceDE w:val="0"/>
                    <w:autoSpaceDN w:val="0"/>
                    <w:adjustRightInd w:val="0"/>
                    <w:spacing w:after="0"/>
                    <w:textAlignment w:val="baseline"/>
                    <w:rPr>
                      <w:sz w:val="16"/>
                      <w:szCs w:val="16"/>
                    </w:rPr>
                  </w:pPr>
                  <w:r>
                    <w:rPr>
                      <w:sz w:val="16"/>
                      <w:szCs w:val="16"/>
                    </w:rPr>
                    <w:t>New measurement status indication or report for FR2 SCell activation enhancement</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1-2-1</w:t>
                  </w:r>
                </w:p>
              </w:tc>
              <w:tc>
                <w:tcPr>
                  <w:tcW w:w="3138" w:type="dxa"/>
                  <w:gridSpan w:val="2"/>
                </w:tcPr>
                <w:p>
                  <w:pPr>
                    <w:overflowPunct w:val="0"/>
                    <w:autoSpaceDE w:val="0"/>
                    <w:autoSpaceDN w:val="0"/>
                    <w:adjustRightInd w:val="0"/>
                    <w:spacing w:after="0"/>
                    <w:textAlignment w:val="baseline"/>
                    <w:rPr>
                      <w:sz w:val="16"/>
                      <w:szCs w:val="16"/>
                    </w:rPr>
                  </w:pPr>
                  <w:r>
                    <w:rPr>
                      <w:sz w:val="16"/>
                      <w:szCs w:val="16"/>
                    </w:rPr>
                    <w:t>Beam sweeping factor enhancement in L3 part (not related with WI of FR2 multi-Rx chain DL reception)</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1-3-1/1-3-2</w:t>
                  </w:r>
                </w:p>
              </w:tc>
              <w:tc>
                <w:tcPr>
                  <w:tcW w:w="3138" w:type="dxa"/>
                  <w:gridSpan w:val="2"/>
                </w:tcPr>
                <w:p>
                  <w:pPr>
                    <w:overflowPunct w:val="0"/>
                    <w:autoSpaceDE w:val="0"/>
                    <w:autoSpaceDN w:val="0"/>
                    <w:adjustRightInd w:val="0"/>
                    <w:spacing w:after="0"/>
                    <w:textAlignment w:val="baseline"/>
                    <w:rPr>
                      <w:bCs/>
                      <w:sz w:val="16"/>
                      <w:szCs w:val="16"/>
                    </w:rPr>
                  </w:pPr>
                  <w:r>
                    <w:rPr>
                      <w:bCs/>
                      <w:sz w:val="16"/>
                      <w:szCs w:val="16"/>
                      <w:lang w:eastAsia="ko-KR"/>
                    </w:rPr>
                    <w:t>enhancement of “T</w:t>
                  </w:r>
                  <w:r>
                    <w:rPr>
                      <w:bCs/>
                      <w:sz w:val="16"/>
                      <w:szCs w:val="16"/>
                      <w:vertAlign w:val="subscript"/>
                      <w:lang w:eastAsia="ko-KR"/>
                    </w:rPr>
                    <w:t xml:space="preserve">FirstSSB_MAX </w:t>
                  </w:r>
                  <w:r>
                    <w:rPr>
                      <w:bCs/>
                      <w:sz w:val="16"/>
                      <w:szCs w:val="16"/>
                      <w:lang w:eastAsia="ko-KR"/>
                    </w:rPr>
                    <w:t>+ 15*T</w:t>
                  </w:r>
                  <w:r>
                    <w:rPr>
                      <w:bCs/>
                      <w:sz w:val="16"/>
                      <w:szCs w:val="16"/>
                      <w:vertAlign w:val="subscript"/>
                      <w:lang w:eastAsia="ko-KR"/>
                    </w:rPr>
                    <w:t>SMTC_MAX</w:t>
                  </w:r>
                  <w:r>
                    <w:rPr>
                      <w:bCs/>
                      <w:sz w:val="16"/>
                      <w:szCs w:val="16"/>
                      <w:lang w:eastAsia="ko-KR"/>
                    </w:rPr>
                    <w:t>” part (sample reduction)</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1-3-3</w:t>
                  </w:r>
                </w:p>
              </w:tc>
              <w:tc>
                <w:tcPr>
                  <w:tcW w:w="3138" w:type="dxa"/>
                  <w:gridSpan w:val="2"/>
                </w:tcPr>
                <w:p>
                  <w:pPr>
                    <w:overflowPunct w:val="0"/>
                    <w:autoSpaceDE w:val="0"/>
                    <w:autoSpaceDN w:val="0"/>
                    <w:adjustRightInd w:val="0"/>
                    <w:spacing w:after="0"/>
                    <w:textAlignment w:val="baseline"/>
                    <w:rPr>
                      <w:sz w:val="16"/>
                      <w:szCs w:val="16"/>
                    </w:rPr>
                  </w:pPr>
                  <w:r>
                    <w:rPr>
                      <w:sz w:val="16"/>
                      <w:szCs w:val="16"/>
                    </w:rPr>
                    <w:t>Enhancement of “8*Trs” part</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Merged to issue 1-2-1/2-1-1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1-4-2</w:t>
                  </w:r>
                </w:p>
              </w:tc>
              <w:tc>
                <w:tcPr>
                  <w:tcW w:w="3138" w:type="dxa"/>
                  <w:gridSpan w:val="2"/>
                </w:tcPr>
                <w:p>
                  <w:pPr>
                    <w:overflowPunct w:val="0"/>
                    <w:autoSpaceDE w:val="0"/>
                    <w:autoSpaceDN w:val="0"/>
                    <w:adjustRightInd w:val="0"/>
                    <w:spacing w:after="0"/>
                    <w:textAlignment w:val="baseline"/>
                    <w:rPr>
                      <w:sz w:val="16"/>
                      <w:szCs w:val="16"/>
                    </w:rPr>
                  </w:pPr>
                  <w:r>
                    <w:rPr>
                      <w:sz w:val="16"/>
                      <w:szCs w:val="16"/>
                    </w:rPr>
                    <w:t>RS and QCL information related enhancement for FR2 unknown SCell activation</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1-4-1/Issue 1-4-3</w:t>
                  </w:r>
                </w:p>
              </w:tc>
              <w:tc>
                <w:tcPr>
                  <w:tcW w:w="3138" w:type="dxa"/>
                  <w:gridSpan w:val="2"/>
                </w:tcPr>
                <w:p>
                  <w:pPr>
                    <w:overflowPunct w:val="0"/>
                    <w:autoSpaceDE w:val="0"/>
                    <w:autoSpaceDN w:val="0"/>
                    <w:adjustRightInd w:val="0"/>
                    <w:spacing w:after="0"/>
                    <w:textAlignment w:val="baseline"/>
                    <w:rPr>
                      <w:sz w:val="16"/>
                      <w:szCs w:val="16"/>
                    </w:rPr>
                  </w:pPr>
                  <w:r>
                    <w:rPr>
                      <w:sz w:val="16"/>
                      <w:szCs w:val="16"/>
                    </w:rPr>
                    <w:t>RS and QCL information related enhancement for FR1 unknown SCell activation</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180"/>
                    <w:textAlignment w:val="baseline"/>
                    <w:rPr>
                      <w:sz w:val="16"/>
                      <w:szCs w:val="16"/>
                    </w:rPr>
                  </w:pPr>
                </w:p>
              </w:tc>
              <w:tc>
                <w:tcPr>
                  <w:tcW w:w="1530" w:type="dxa"/>
                </w:tcPr>
                <w:p>
                  <w:pPr>
                    <w:overflowPunct w:val="0"/>
                    <w:autoSpaceDE w:val="0"/>
                    <w:autoSpaceDN w:val="0"/>
                    <w:adjustRightInd w:val="0"/>
                    <w:spacing w:after="180"/>
                    <w:textAlignment w:val="baseline"/>
                    <w:rPr>
                      <w:sz w:val="16"/>
                      <w:szCs w:val="16"/>
                    </w:rPr>
                  </w:pPr>
                  <w:r>
                    <w:rPr>
                      <w:sz w:val="16"/>
                      <w:szCs w:val="16"/>
                    </w:rPr>
                    <w:t>Issue 1-5-1/1-5-2</w:t>
                  </w:r>
                </w:p>
              </w:tc>
              <w:tc>
                <w:tcPr>
                  <w:tcW w:w="3138" w:type="dxa"/>
                  <w:gridSpan w:val="2"/>
                </w:tcPr>
                <w:p>
                  <w:pPr>
                    <w:overflowPunct w:val="0"/>
                    <w:autoSpaceDE w:val="0"/>
                    <w:autoSpaceDN w:val="0"/>
                    <w:adjustRightInd w:val="0"/>
                    <w:spacing w:after="180"/>
                    <w:textAlignment w:val="baseline"/>
                    <w:rPr>
                      <w:sz w:val="16"/>
                      <w:szCs w:val="16"/>
                    </w:rPr>
                  </w:pPr>
                  <w:r>
                    <w:rPr>
                      <w:sz w:val="16"/>
                      <w:szCs w:val="16"/>
                    </w:rPr>
                    <w:t>Ending point of Scell activation of unknown case in FR2</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180"/>
                    <w:textAlignment w:val="baseline"/>
                    <w:rPr>
                      <w:sz w:val="16"/>
                      <w:szCs w:val="16"/>
                    </w:rPr>
                  </w:pPr>
                </w:p>
              </w:tc>
              <w:tc>
                <w:tcPr>
                  <w:tcW w:w="1530" w:type="dxa"/>
                </w:tcPr>
                <w:p>
                  <w:pPr>
                    <w:overflowPunct w:val="0"/>
                    <w:autoSpaceDE w:val="0"/>
                    <w:autoSpaceDN w:val="0"/>
                    <w:adjustRightInd w:val="0"/>
                    <w:spacing w:after="180"/>
                    <w:textAlignment w:val="baseline"/>
                    <w:rPr>
                      <w:sz w:val="16"/>
                      <w:szCs w:val="16"/>
                    </w:rPr>
                  </w:pPr>
                  <w:r>
                    <w:rPr>
                      <w:sz w:val="16"/>
                      <w:szCs w:val="16"/>
                    </w:rPr>
                    <w:t>Issue 1-6-1</w:t>
                  </w:r>
                </w:p>
              </w:tc>
              <w:tc>
                <w:tcPr>
                  <w:tcW w:w="3138" w:type="dxa"/>
                  <w:gridSpan w:val="2"/>
                </w:tcPr>
                <w:p>
                  <w:pPr>
                    <w:overflowPunct w:val="0"/>
                    <w:autoSpaceDE w:val="0"/>
                    <w:autoSpaceDN w:val="0"/>
                    <w:adjustRightInd w:val="0"/>
                    <w:spacing w:after="180"/>
                    <w:textAlignment w:val="baseline"/>
                    <w:rPr>
                      <w:sz w:val="16"/>
                      <w:szCs w:val="16"/>
                    </w:rPr>
                  </w:pPr>
                  <w:r>
                    <w:rPr>
                      <w:sz w:val="16"/>
                      <w:szCs w:val="16"/>
                    </w:rPr>
                    <w:t>use SSB periodicity (e.g. 20ms) instead of SMTC periodicity for FR2 unknown SCell activation</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165" w:type="dxa"/>
                  <w:vMerge w:val="restart"/>
                </w:tcPr>
                <w:p>
                  <w:pPr>
                    <w:overflowPunct w:val="0"/>
                    <w:autoSpaceDE w:val="0"/>
                    <w:autoSpaceDN w:val="0"/>
                    <w:adjustRightInd w:val="0"/>
                    <w:spacing w:after="0"/>
                    <w:textAlignment w:val="baseline"/>
                    <w:rPr>
                      <w:sz w:val="16"/>
                      <w:szCs w:val="16"/>
                    </w:rPr>
                  </w:pPr>
                  <w:r>
                    <w:rPr>
                      <w:sz w:val="16"/>
                      <w:szCs w:val="16"/>
                    </w:rPr>
                    <w:t>L1 part</w:t>
                  </w:r>
                </w:p>
              </w:tc>
              <w:tc>
                <w:tcPr>
                  <w:tcW w:w="1530" w:type="dxa"/>
                </w:tcPr>
                <w:p>
                  <w:pPr>
                    <w:overflowPunct w:val="0"/>
                    <w:autoSpaceDE w:val="0"/>
                    <w:autoSpaceDN w:val="0"/>
                    <w:adjustRightInd w:val="0"/>
                    <w:spacing w:after="0"/>
                    <w:textAlignment w:val="baseline"/>
                    <w:rPr>
                      <w:sz w:val="16"/>
                      <w:szCs w:val="16"/>
                    </w:rPr>
                  </w:pPr>
                  <w:r>
                    <w:rPr>
                      <w:sz w:val="16"/>
                      <w:szCs w:val="16"/>
                    </w:rPr>
                    <w:t>Issue 2-1-1</w:t>
                  </w:r>
                </w:p>
              </w:tc>
              <w:tc>
                <w:tcPr>
                  <w:tcW w:w="3138" w:type="dxa"/>
                  <w:gridSpan w:val="2"/>
                </w:tcPr>
                <w:p>
                  <w:pPr>
                    <w:overflowPunct w:val="0"/>
                    <w:autoSpaceDE w:val="0"/>
                    <w:autoSpaceDN w:val="0"/>
                    <w:adjustRightInd w:val="0"/>
                    <w:spacing w:after="0"/>
                    <w:textAlignment w:val="baseline"/>
                    <w:rPr>
                      <w:sz w:val="16"/>
                      <w:szCs w:val="16"/>
                    </w:rPr>
                  </w:pPr>
                  <w:r>
                    <w:rPr>
                      <w:sz w:val="16"/>
                      <w:szCs w:val="16"/>
                    </w:rPr>
                    <w:t>Beam sweeping factor enhancement in L1-RSRP measurement (not related with WI of FR2 multi-Rx chain DL reception)</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2-1-2</w:t>
                  </w:r>
                </w:p>
              </w:tc>
              <w:tc>
                <w:tcPr>
                  <w:tcW w:w="3138" w:type="dxa"/>
                  <w:gridSpan w:val="2"/>
                </w:tcPr>
                <w:p>
                  <w:pPr>
                    <w:overflowPunct w:val="0"/>
                    <w:autoSpaceDE w:val="0"/>
                    <w:autoSpaceDN w:val="0"/>
                    <w:adjustRightInd w:val="0"/>
                    <w:spacing w:after="0"/>
                    <w:textAlignment w:val="baseline"/>
                    <w:rPr>
                      <w:sz w:val="16"/>
                      <w:szCs w:val="16"/>
                    </w:rPr>
                  </w:pPr>
                  <w:r>
                    <w:rPr>
                      <w:sz w:val="16"/>
                      <w:szCs w:val="16"/>
                    </w:rPr>
                    <w:t>Skip L1-RSRP measurement of FR2 unknown SCell activation</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vMerge w:val="restart"/>
                </w:tcPr>
                <w:p>
                  <w:pPr>
                    <w:overflowPunct w:val="0"/>
                    <w:autoSpaceDE w:val="0"/>
                    <w:autoSpaceDN w:val="0"/>
                    <w:adjustRightInd w:val="0"/>
                    <w:spacing w:after="0"/>
                    <w:textAlignment w:val="baseline"/>
                    <w:rPr>
                      <w:sz w:val="16"/>
                      <w:szCs w:val="16"/>
                    </w:rPr>
                  </w:pPr>
                  <w:r>
                    <w:rPr>
                      <w:sz w:val="16"/>
                      <w:szCs w:val="16"/>
                    </w:rPr>
                    <w:t>Issue 2-1-3</w:t>
                  </w:r>
                </w:p>
              </w:tc>
              <w:tc>
                <w:tcPr>
                  <w:tcW w:w="1569" w:type="dxa"/>
                  <w:vMerge w:val="restart"/>
                </w:tcPr>
                <w:p>
                  <w:pPr>
                    <w:overflowPunct w:val="0"/>
                    <w:autoSpaceDE w:val="0"/>
                    <w:autoSpaceDN w:val="0"/>
                    <w:adjustRightInd w:val="0"/>
                    <w:spacing w:after="180"/>
                    <w:textAlignment w:val="baseline"/>
                    <w:rPr>
                      <w:sz w:val="16"/>
                      <w:szCs w:val="16"/>
                    </w:rPr>
                  </w:pPr>
                  <w:r>
                    <w:rPr>
                      <w:sz w:val="16"/>
                      <w:szCs w:val="16"/>
                    </w:rPr>
                    <w:t>Prioritization enhancement for L1-RSRP measurement</w:t>
                  </w:r>
                </w:p>
              </w:tc>
              <w:tc>
                <w:tcPr>
                  <w:tcW w:w="1569" w:type="dxa"/>
                </w:tcPr>
                <w:p>
                  <w:pPr>
                    <w:overflowPunct w:val="0"/>
                    <w:autoSpaceDE w:val="0"/>
                    <w:autoSpaceDN w:val="0"/>
                    <w:adjustRightInd w:val="0"/>
                    <w:spacing w:after="0"/>
                    <w:textAlignment w:val="baseline"/>
                    <w:rPr>
                      <w:sz w:val="16"/>
                      <w:szCs w:val="16"/>
                    </w:rPr>
                  </w:pPr>
                  <w:r>
                    <w:rPr>
                      <w:sz w:val="16"/>
                      <w:szCs w:val="16"/>
                    </w:rPr>
                    <w:t>L1-RSRP measurement is performed in non-DRX mode even DRX is configured.</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165" w:type="dxa"/>
                  <w:vMerge w:val="continue"/>
                </w:tcPr>
                <w:p>
                  <w:pPr>
                    <w:overflowPunct w:val="0"/>
                    <w:autoSpaceDE w:val="0"/>
                    <w:autoSpaceDN w:val="0"/>
                    <w:adjustRightInd w:val="0"/>
                    <w:spacing w:after="180"/>
                    <w:textAlignment w:val="baseline"/>
                    <w:rPr>
                      <w:sz w:val="16"/>
                      <w:szCs w:val="16"/>
                    </w:rPr>
                  </w:pPr>
                </w:p>
              </w:tc>
              <w:tc>
                <w:tcPr>
                  <w:tcW w:w="1530" w:type="dxa"/>
                  <w:vMerge w:val="continue"/>
                </w:tcPr>
                <w:p>
                  <w:pPr>
                    <w:overflowPunct w:val="0"/>
                    <w:autoSpaceDE w:val="0"/>
                    <w:autoSpaceDN w:val="0"/>
                    <w:adjustRightInd w:val="0"/>
                    <w:spacing w:after="180"/>
                    <w:textAlignment w:val="baseline"/>
                    <w:rPr>
                      <w:sz w:val="16"/>
                      <w:szCs w:val="16"/>
                    </w:rPr>
                  </w:pPr>
                </w:p>
              </w:tc>
              <w:tc>
                <w:tcPr>
                  <w:tcW w:w="1569" w:type="dxa"/>
                  <w:vMerge w:val="continue"/>
                </w:tcPr>
                <w:p>
                  <w:pPr>
                    <w:overflowPunct w:val="0"/>
                    <w:autoSpaceDE w:val="0"/>
                    <w:autoSpaceDN w:val="0"/>
                    <w:adjustRightInd w:val="0"/>
                    <w:spacing w:after="180"/>
                    <w:textAlignment w:val="baseline"/>
                    <w:rPr>
                      <w:sz w:val="16"/>
                      <w:szCs w:val="16"/>
                    </w:rPr>
                  </w:pPr>
                </w:p>
              </w:tc>
              <w:tc>
                <w:tcPr>
                  <w:tcW w:w="1569" w:type="dxa"/>
                </w:tcPr>
                <w:p>
                  <w:pPr>
                    <w:overflowPunct w:val="0"/>
                    <w:autoSpaceDE w:val="0"/>
                    <w:autoSpaceDN w:val="0"/>
                    <w:adjustRightInd w:val="0"/>
                    <w:spacing w:after="180"/>
                    <w:textAlignment w:val="baseline"/>
                    <w:rPr>
                      <w:sz w:val="16"/>
                      <w:szCs w:val="16"/>
                    </w:rPr>
                  </w:pPr>
                  <w:r>
                    <w:rPr>
                      <w:sz w:val="16"/>
                      <w:szCs w:val="16"/>
                    </w:rPr>
                    <w:t>Whether prioritize L1 over L3 is under discussing</w:t>
                  </w:r>
                </w:p>
              </w:tc>
              <w:tc>
                <w:tcPr>
                  <w:tcW w:w="2926" w:type="dxa"/>
                  <w:shd w:val="clear" w:color="auto" w:fill="auto"/>
                </w:tcPr>
                <w:p>
                  <w:pPr>
                    <w:overflowPunct w:val="0"/>
                    <w:autoSpaceDE w:val="0"/>
                    <w:autoSpaceDN w:val="0"/>
                    <w:adjustRightInd w:val="0"/>
                    <w:spacing w:after="180"/>
                    <w:textAlignment w:val="baseline"/>
                    <w:rPr>
                      <w:sz w:val="16"/>
                      <w:szCs w:val="16"/>
                      <w:highlight w:val="green"/>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2-2-1</w:t>
                  </w:r>
                </w:p>
              </w:tc>
              <w:tc>
                <w:tcPr>
                  <w:tcW w:w="3138" w:type="dxa"/>
                  <w:gridSpan w:val="2"/>
                </w:tcPr>
                <w:p>
                  <w:pPr>
                    <w:overflowPunct w:val="0"/>
                    <w:autoSpaceDE w:val="0"/>
                    <w:autoSpaceDN w:val="0"/>
                    <w:adjustRightInd w:val="0"/>
                    <w:spacing w:after="0"/>
                    <w:textAlignment w:val="baseline"/>
                    <w:rPr>
                      <w:sz w:val="16"/>
                      <w:szCs w:val="16"/>
                    </w:rPr>
                  </w:pPr>
                  <w:r>
                    <w:rPr>
                      <w:sz w:val="16"/>
                      <w:szCs w:val="16"/>
                    </w:rPr>
                    <w:t>Skip fine timing tracking for SSB corresponding to the TCI state</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2-2-2</w:t>
                  </w:r>
                </w:p>
              </w:tc>
              <w:tc>
                <w:tcPr>
                  <w:tcW w:w="3138" w:type="dxa"/>
                  <w:gridSpan w:val="2"/>
                </w:tcPr>
                <w:p>
                  <w:pPr>
                    <w:overflowPunct w:val="0"/>
                    <w:autoSpaceDE w:val="0"/>
                    <w:autoSpaceDN w:val="0"/>
                    <w:adjustRightInd w:val="0"/>
                    <w:spacing w:after="0"/>
                    <w:textAlignment w:val="baseline"/>
                    <w:rPr>
                      <w:sz w:val="16"/>
                      <w:szCs w:val="16"/>
                    </w:rPr>
                  </w:pPr>
                  <w:r>
                    <w:rPr>
                      <w:sz w:val="16"/>
                      <w:szCs w:val="16"/>
                    </w:rPr>
                    <w:t>TCI activation enhancement</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2-3-1</w:t>
                  </w:r>
                </w:p>
              </w:tc>
              <w:tc>
                <w:tcPr>
                  <w:tcW w:w="3138" w:type="dxa"/>
                  <w:gridSpan w:val="2"/>
                </w:tcPr>
                <w:p>
                  <w:pPr>
                    <w:overflowPunct w:val="0"/>
                    <w:autoSpaceDE w:val="0"/>
                    <w:autoSpaceDN w:val="0"/>
                    <w:adjustRightInd w:val="0"/>
                    <w:spacing w:after="0"/>
                    <w:textAlignment w:val="baseline"/>
                    <w:rPr>
                      <w:sz w:val="16"/>
                      <w:szCs w:val="16"/>
                    </w:rPr>
                  </w:pPr>
                  <w:r>
                    <w:rPr>
                      <w:sz w:val="16"/>
                      <w:szCs w:val="16"/>
                    </w:rPr>
                    <w:t>Aperiodic RS for T</w:t>
                  </w:r>
                  <w:r>
                    <w:rPr>
                      <w:sz w:val="16"/>
                      <w:szCs w:val="16"/>
                      <w:vertAlign w:val="subscript"/>
                    </w:rPr>
                    <w:t>FineTiming</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tcPr>
                <w:p>
                  <w:pPr>
                    <w:overflowPunct w:val="0"/>
                    <w:autoSpaceDE w:val="0"/>
                    <w:autoSpaceDN w:val="0"/>
                    <w:adjustRightInd w:val="0"/>
                    <w:spacing w:after="180"/>
                    <w:textAlignment w:val="baseline"/>
                    <w:rPr>
                      <w:sz w:val="16"/>
                      <w:szCs w:val="16"/>
                    </w:rPr>
                  </w:pPr>
                </w:p>
              </w:tc>
              <w:tc>
                <w:tcPr>
                  <w:tcW w:w="1530" w:type="dxa"/>
                </w:tcPr>
                <w:p>
                  <w:pPr>
                    <w:overflowPunct w:val="0"/>
                    <w:autoSpaceDE w:val="0"/>
                    <w:autoSpaceDN w:val="0"/>
                    <w:adjustRightInd w:val="0"/>
                    <w:spacing w:after="180"/>
                    <w:textAlignment w:val="baseline"/>
                    <w:rPr>
                      <w:sz w:val="16"/>
                      <w:szCs w:val="16"/>
                    </w:rPr>
                  </w:pPr>
                  <w:r>
                    <w:rPr>
                      <w:sz w:val="16"/>
                      <w:szCs w:val="16"/>
                    </w:rPr>
                    <w:t>Issue 2-3-2/</w:t>
                  </w:r>
                  <w:r>
                    <w:t xml:space="preserve"> </w:t>
                  </w:r>
                  <w:r>
                    <w:rPr>
                      <w:sz w:val="16"/>
                      <w:szCs w:val="16"/>
                    </w:rPr>
                    <w:t>Issue 2-4-2</w:t>
                  </w:r>
                </w:p>
              </w:tc>
              <w:tc>
                <w:tcPr>
                  <w:tcW w:w="3138" w:type="dxa"/>
                  <w:gridSpan w:val="2"/>
                </w:tcPr>
                <w:p>
                  <w:pPr>
                    <w:overflowPunct w:val="0"/>
                    <w:autoSpaceDE w:val="0"/>
                    <w:autoSpaceDN w:val="0"/>
                    <w:adjustRightInd w:val="0"/>
                    <w:spacing w:after="180"/>
                    <w:textAlignment w:val="baseline"/>
                    <w:rPr>
                      <w:sz w:val="16"/>
                      <w:szCs w:val="16"/>
                    </w:rPr>
                  </w:pPr>
                  <w:r>
                    <w:rPr>
                      <w:sz w:val="16"/>
                      <w:szCs w:val="16"/>
                    </w:rPr>
                    <w:t>Aperiodic RS for L1-RSRP measurement</w:t>
                  </w:r>
                </w:p>
              </w:tc>
              <w:tc>
                <w:tcPr>
                  <w:tcW w:w="2926" w:type="dxa"/>
                </w:tcPr>
                <w:p>
                  <w:pPr>
                    <w:tabs>
                      <w:tab w:val="left" w:pos="560"/>
                    </w:tabs>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65" w:type="dxa"/>
                  <w:vMerge w:val="restart"/>
                </w:tcPr>
                <w:p>
                  <w:pPr>
                    <w:overflowPunct w:val="0"/>
                    <w:autoSpaceDE w:val="0"/>
                    <w:autoSpaceDN w:val="0"/>
                    <w:adjustRightInd w:val="0"/>
                    <w:spacing w:after="0"/>
                    <w:textAlignment w:val="baseline"/>
                    <w:rPr>
                      <w:sz w:val="16"/>
                      <w:szCs w:val="16"/>
                    </w:rPr>
                  </w:pPr>
                  <w:r>
                    <w:rPr>
                      <w:sz w:val="16"/>
                      <w:szCs w:val="16"/>
                    </w:rPr>
                    <w:t>Others</w:t>
                  </w:r>
                </w:p>
              </w:tc>
              <w:tc>
                <w:tcPr>
                  <w:tcW w:w="1530" w:type="dxa"/>
                </w:tcPr>
                <w:p>
                  <w:pPr>
                    <w:overflowPunct w:val="0"/>
                    <w:autoSpaceDE w:val="0"/>
                    <w:autoSpaceDN w:val="0"/>
                    <w:adjustRightInd w:val="0"/>
                    <w:spacing w:after="0"/>
                    <w:textAlignment w:val="baseline"/>
                    <w:rPr>
                      <w:sz w:val="16"/>
                      <w:szCs w:val="16"/>
                    </w:rPr>
                  </w:pPr>
                  <w:r>
                    <w:rPr>
                      <w:sz w:val="16"/>
                      <w:szCs w:val="16"/>
                    </w:rPr>
                    <w:t>Issue 3-1-1</w:t>
                  </w:r>
                </w:p>
              </w:tc>
              <w:tc>
                <w:tcPr>
                  <w:tcW w:w="3138" w:type="dxa"/>
                  <w:gridSpan w:val="2"/>
                </w:tcPr>
                <w:p>
                  <w:pPr>
                    <w:overflowPunct w:val="0"/>
                    <w:autoSpaceDE w:val="0"/>
                    <w:autoSpaceDN w:val="0"/>
                    <w:adjustRightInd w:val="0"/>
                    <w:spacing w:after="0"/>
                    <w:textAlignment w:val="baseline"/>
                    <w:rPr>
                      <w:sz w:val="16"/>
                      <w:szCs w:val="16"/>
                    </w:rPr>
                  </w:pPr>
                  <w:r>
                    <w:rPr>
                      <w:sz w:val="16"/>
                      <w:szCs w:val="16"/>
                    </w:rPr>
                    <w:t>SCell without SSB for inter-band FR2 unknown SCell activation</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3-1-2/ Issue 3-1-3/Issue 3-1-4</w:t>
                  </w:r>
                </w:p>
              </w:tc>
              <w:tc>
                <w:tcPr>
                  <w:tcW w:w="3138" w:type="dxa"/>
                  <w:gridSpan w:val="2"/>
                </w:tcPr>
                <w:p>
                  <w:pPr>
                    <w:overflowPunct w:val="0"/>
                    <w:autoSpaceDE w:val="0"/>
                    <w:autoSpaceDN w:val="0"/>
                    <w:adjustRightInd w:val="0"/>
                    <w:spacing w:after="0"/>
                    <w:textAlignment w:val="baseline"/>
                    <w:rPr>
                      <w:sz w:val="16"/>
                      <w:szCs w:val="16"/>
                    </w:rPr>
                  </w:pPr>
                  <w:r>
                    <w:rPr>
                      <w:sz w:val="16"/>
                      <w:szCs w:val="16"/>
                    </w:rPr>
                    <w:t>SCell without SSB for inter-band FR1 unknown SCell activation</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3-1-5</w:t>
                  </w:r>
                </w:p>
              </w:tc>
              <w:tc>
                <w:tcPr>
                  <w:tcW w:w="3138" w:type="dxa"/>
                  <w:gridSpan w:val="2"/>
                </w:tcPr>
                <w:p>
                  <w:pPr>
                    <w:overflowPunct w:val="0"/>
                    <w:autoSpaceDE w:val="0"/>
                    <w:autoSpaceDN w:val="0"/>
                    <w:adjustRightInd w:val="0"/>
                    <w:spacing w:after="0"/>
                    <w:textAlignment w:val="baseline"/>
                    <w:rPr>
                      <w:sz w:val="16"/>
                      <w:szCs w:val="16"/>
                    </w:rPr>
                  </w:pPr>
                  <w:r>
                    <w:rPr>
                      <w:sz w:val="16"/>
                      <w:szCs w:val="16"/>
                    </w:rPr>
                    <w:t>known/unknown condition enhancement for FR2 SCell activation</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3-1-6</w:t>
                  </w:r>
                </w:p>
              </w:tc>
              <w:tc>
                <w:tcPr>
                  <w:tcW w:w="3138" w:type="dxa"/>
                  <w:gridSpan w:val="2"/>
                </w:tcPr>
                <w:p>
                  <w:pPr>
                    <w:overflowPunct w:val="0"/>
                    <w:autoSpaceDE w:val="0"/>
                    <w:autoSpaceDN w:val="0"/>
                    <w:adjustRightInd w:val="0"/>
                    <w:spacing w:after="0"/>
                    <w:textAlignment w:val="baseline"/>
                    <w:rPr>
                      <w:sz w:val="16"/>
                      <w:szCs w:val="16"/>
                    </w:rPr>
                  </w:pPr>
                  <w:r>
                    <w:rPr>
                      <w:sz w:val="16"/>
                      <w:szCs w:val="16"/>
                    </w:rPr>
                    <w:t>Scheduling enhancement for FR2 unknown SCell activation</w:t>
                  </w:r>
                </w:p>
              </w:tc>
              <w:tc>
                <w:tcPr>
                  <w:tcW w:w="2926" w:type="dxa"/>
                  <w:shd w:val="clear" w:color="auto" w:fill="92D050"/>
                </w:tcPr>
                <w:p>
                  <w:pPr>
                    <w:overflowPunct w:val="0"/>
                    <w:autoSpaceDE w:val="0"/>
                    <w:autoSpaceDN w:val="0"/>
                    <w:adjustRightInd w:val="0"/>
                    <w:spacing w:after="180"/>
                    <w:textAlignment w:val="baseline"/>
                    <w:rPr>
                      <w:sz w:val="16"/>
                      <w:szCs w:val="16"/>
                    </w:rPr>
                  </w:pPr>
                  <w:r>
                    <w:rPr>
                      <w:sz w:val="16"/>
                      <w:szCs w:val="16"/>
                    </w:rPr>
                    <w:t>Yes, continue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165" w:type="dxa"/>
                  <w:vMerge w:val="continue"/>
                </w:tcPr>
                <w:p>
                  <w:pPr>
                    <w:overflowPunct w:val="0"/>
                    <w:autoSpaceDE w:val="0"/>
                    <w:autoSpaceDN w:val="0"/>
                    <w:adjustRightInd w:val="0"/>
                    <w:spacing w:after="0"/>
                    <w:textAlignment w:val="baseline"/>
                    <w:rPr>
                      <w:sz w:val="16"/>
                      <w:szCs w:val="16"/>
                    </w:rPr>
                  </w:pPr>
                </w:p>
              </w:tc>
              <w:tc>
                <w:tcPr>
                  <w:tcW w:w="1530" w:type="dxa"/>
                </w:tcPr>
                <w:p>
                  <w:pPr>
                    <w:overflowPunct w:val="0"/>
                    <w:autoSpaceDE w:val="0"/>
                    <w:autoSpaceDN w:val="0"/>
                    <w:adjustRightInd w:val="0"/>
                    <w:spacing w:after="0"/>
                    <w:textAlignment w:val="baseline"/>
                    <w:rPr>
                      <w:sz w:val="16"/>
                      <w:szCs w:val="16"/>
                    </w:rPr>
                  </w:pPr>
                  <w:r>
                    <w:rPr>
                      <w:sz w:val="16"/>
                      <w:szCs w:val="16"/>
                    </w:rPr>
                    <w:t>Issue 3-1-7</w:t>
                  </w:r>
                </w:p>
              </w:tc>
              <w:tc>
                <w:tcPr>
                  <w:tcW w:w="3138" w:type="dxa"/>
                  <w:gridSpan w:val="2"/>
                </w:tcPr>
                <w:p>
                  <w:pPr>
                    <w:overflowPunct w:val="0"/>
                    <w:autoSpaceDE w:val="0"/>
                    <w:autoSpaceDN w:val="0"/>
                    <w:adjustRightInd w:val="0"/>
                    <w:spacing w:after="0"/>
                    <w:textAlignment w:val="baseline"/>
                    <w:rPr>
                      <w:sz w:val="16"/>
                      <w:szCs w:val="16"/>
                    </w:rPr>
                  </w:pPr>
                  <w:r>
                    <w:rPr>
                      <w:sz w:val="16"/>
                      <w:szCs w:val="16"/>
                    </w:rPr>
                    <w:t>CBRA for FR2 unknown SCell activation</w:t>
                  </w:r>
                </w:p>
              </w:tc>
              <w:tc>
                <w:tcPr>
                  <w:tcW w:w="2926" w:type="dxa"/>
                </w:tcPr>
                <w:p>
                  <w:pPr>
                    <w:overflowPunct w:val="0"/>
                    <w:autoSpaceDE w:val="0"/>
                    <w:autoSpaceDN w:val="0"/>
                    <w:adjustRightInd w:val="0"/>
                    <w:spacing w:after="180"/>
                    <w:textAlignment w:val="baseline"/>
                    <w:rPr>
                      <w:sz w:val="16"/>
                      <w:szCs w:val="16"/>
                    </w:rPr>
                  </w:pPr>
                  <w:r>
                    <w:rPr>
                      <w:sz w:val="16"/>
                      <w:szCs w:val="16"/>
                      <w:highlight w:val="yellow"/>
                    </w:rPr>
                    <w:t>Deprioritized</w:t>
                  </w:r>
                </w:p>
              </w:tc>
            </w:tr>
          </w:tbl>
          <w:p>
            <w:pPr>
              <w:keepNext w:val="0"/>
              <w:keepLines w:val="0"/>
              <w:pageBreakBefore w:val="0"/>
              <w:kinsoku/>
              <w:wordWrap/>
              <w:overflowPunct/>
              <w:topLinePunct w:val="0"/>
              <w:autoSpaceDE w:val="0"/>
              <w:autoSpaceDN w:val="0"/>
              <w:bidi w:val="0"/>
              <w:adjustRightInd w:val="0"/>
              <w:snapToGrid/>
              <w:spacing w:line="240" w:lineRule="auto"/>
              <w:textAlignment w:val="auto"/>
              <w:rPr>
                <w:b/>
                <w:bCs/>
                <w:highlight w:val="green"/>
                <w:u w:val="single"/>
                <w:lang w:val="sv-SE" w:eastAsia="ja-JP"/>
              </w:rPr>
            </w:pPr>
          </w:p>
          <w:p>
            <w:pPr>
              <w:keepNext w:val="0"/>
              <w:keepLines w:val="0"/>
              <w:pageBreakBefore w:val="0"/>
              <w:kinsoku/>
              <w:wordWrap/>
              <w:overflowPunct/>
              <w:topLinePunct w:val="0"/>
              <w:autoSpaceDE w:val="0"/>
              <w:autoSpaceDN w:val="0"/>
              <w:bidi w:val="0"/>
              <w:adjustRightInd w:val="0"/>
              <w:snapToGrid/>
              <w:spacing w:line="240" w:lineRule="auto"/>
              <w:textAlignment w:val="auto"/>
              <w:rPr>
                <w:b/>
                <w:bCs/>
                <w:highlight w:val="green"/>
                <w:u w:val="single"/>
                <w:lang w:val="sv-SE" w:eastAsia="ja-JP"/>
              </w:rPr>
            </w:pPr>
            <w:r>
              <w:rPr>
                <w:b/>
                <w:bCs/>
                <w:highlight w:val="green"/>
                <w:u w:val="single"/>
                <w:lang w:val="sv-SE" w:eastAsia="ja-JP"/>
              </w:rPr>
              <w:t>Agreement for issue 1-2-1 and 2-1-1:</w:t>
            </w:r>
          </w:p>
          <w:p>
            <w:pPr>
              <w:pStyle w:val="58"/>
              <w:keepNext w:val="0"/>
              <w:keepLines w:val="0"/>
              <w:pageBreakBefore w:val="0"/>
              <w:numPr>
                <w:ilvl w:val="0"/>
                <w:numId w:val="3"/>
              </w:numPr>
              <w:kinsoku/>
              <w:wordWrap/>
              <w:overflowPunct/>
              <w:topLinePunct w:val="0"/>
              <w:bidi w:val="0"/>
              <w:snapToGrid/>
              <w:spacing w:after="0"/>
              <w:ind w:left="128" w:leftChars="0"/>
              <w:textAlignment w:val="auto"/>
            </w:pPr>
            <w:r>
              <w:t>For unknown FR2 SCell activation enhancement, introduce the UE capability to support Rx beam sweeping factor can be less than 8 for cell detection part of L3 and SSB based L1-RSRP measurement.</w:t>
            </w:r>
          </w:p>
          <w:p>
            <w:pPr>
              <w:pStyle w:val="58"/>
              <w:keepNext w:val="0"/>
              <w:keepLines w:val="0"/>
              <w:pageBreakBefore w:val="0"/>
              <w:kinsoku/>
              <w:wordWrap/>
              <w:overflowPunct/>
              <w:topLinePunct w:val="0"/>
              <w:bidi w:val="0"/>
              <w:snapToGrid/>
              <w:spacing w:after="0"/>
              <w:ind w:left="848" w:leftChars="0"/>
              <w:textAlignment w:val="auto"/>
            </w:pPr>
            <w:r>
              <w:t>if UE has full set (N=8) of beam sweeping during AGC settling part in L3.</w:t>
            </w:r>
          </w:p>
          <w:p>
            <w:pPr>
              <w:pStyle w:val="28"/>
              <w:keepNext w:val="0"/>
              <w:keepLines w:val="0"/>
              <w:pageBreakBefore w:val="0"/>
              <w:numPr>
                <w:ilvl w:val="3"/>
                <w:numId w:val="3"/>
              </w:numPr>
              <w:tabs>
                <w:tab w:val="left" w:pos="-840"/>
                <w:tab w:val="clear" w:pos="-1680"/>
              </w:tabs>
              <w:kinsoku/>
              <w:wordWrap/>
              <w:overflowPunct/>
              <w:topLinePunct w:val="0"/>
              <w:autoSpaceDE/>
              <w:autoSpaceDN/>
              <w:bidi w:val="0"/>
              <w:adjustRightInd/>
              <w:snapToGrid/>
              <w:spacing w:line="240" w:lineRule="auto"/>
              <w:ind w:left="1988" w:leftChars="0"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Beam sweeping factor capability of X1 for cell detection part (X1*Trs) of L3 and beam sweeping factor capability of X2 for SSB based L1-RSRP measurement</w:t>
            </w:r>
          </w:p>
          <w:p>
            <w:pPr>
              <w:pStyle w:val="28"/>
              <w:keepNext w:val="0"/>
              <w:keepLines w:val="0"/>
              <w:pageBreakBefore w:val="0"/>
              <w:numPr>
                <w:ilvl w:val="3"/>
                <w:numId w:val="3"/>
              </w:numPr>
              <w:tabs>
                <w:tab w:val="left" w:pos="-840"/>
                <w:tab w:val="clear" w:pos="-1680"/>
              </w:tabs>
              <w:kinsoku/>
              <w:wordWrap/>
              <w:overflowPunct/>
              <w:topLinePunct w:val="0"/>
              <w:autoSpaceDE/>
              <w:autoSpaceDN/>
              <w:bidi w:val="0"/>
              <w:adjustRightInd/>
              <w:snapToGrid/>
              <w:spacing w:line="240" w:lineRule="auto"/>
              <w:ind w:left="1988" w:leftChars="0"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 xml:space="preserve">FFS on capability indication for X1 and X2  </w:t>
            </w:r>
          </w:p>
          <w:p>
            <w:pPr>
              <w:pStyle w:val="58"/>
              <w:keepNext w:val="0"/>
              <w:keepLines w:val="0"/>
              <w:pageBreakBefore w:val="0"/>
              <w:kinsoku/>
              <w:wordWrap/>
              <w:overflowPunct/>
              <w:topLinePunct w:val="0"/>
              <w:bidi w:val="0"/>
              <w:snapToGrid/>
              <w:spacing w:after="0"/>
              <w:ind w:left="848" w:leftChars="0"/>
              <w:textAlignment w:val="auto"/>
              <w:rPr>
                <w:rFonts w:hint="default"/>
                <w:lang w:val="en-US" w:eastAsia="zh-CN"/>
              </w:rPr>
            </w:pPr>
            <w:r>
              <w:t>Note: above enhancement only applies for FR2 unknown SCell activation enhancement</w:t>
            </w:r>
          </w:p>
          <w:p>
            <w:pPr>
              <w:autoSpaceDE w:val="0"/>
              <w:autoSpaceDN w:val="0"/>
              <w:adjustRightInd w:val="0"/>
              <w:spacing w:after="0" w:line="240" w:lineRule="auto"/>
              <w:rPr>
                <w:b/>
                <w:bCs/>
                <w:highlight w:val="green"/>
                <w:lang w:val="sv-SE" w:eastAsia="ja-JP"/>
              </w:rPr>
            </w:pPr>
            <w:r>
              <w:rPr>
                <w:b/>
                <w:bCs/>
                <w:highlight w:val="green"/>
                <w:lang w:val="sv-SE" w:eastAsia="ja-JP"/>
              </w:rPr>
              <w:t>Agreement:</w:t>
            </w:r>
          </w:p>
          <w:p>
            <w:pPr>
              <w:pStyle w:val="58"/>
              <w:keepNext w:val="0"/>
              <w:keepLines w:val="0"/>
              <w:pageBreakBefore w:val="0"/>
              <w:numPr>
                <w:ilvl w:val="0"/>
                <w:numId w:val="3"/>
              </w:numPr>
              <w:kinsoku/>
              <w:wordWrap/>
              <w:overflowPunct/>
              <w:topLinePunct w:val="0"/>
              <w:bidi w:val="0"/>
              <w:snapToGrid/>
              <w:spacing w:after="0"/>
              <w:ind w:left="128" w:leftChars="0"/>
              <w:textAlignment w:val="auto"/>
              <w:rPr>
                <w:lang w:val="sv-SE" w:eastAsia="ja-JP"/>
              </w:rPr>
            </w:pPr>
            <w:r>
              <w:rPr>
                <w:lang w:val="sv-SE" w:eastAsia="ja-JP"/>
              </w:rPr>
              <w:t>To keep “X1*Trs” part of current FR2 unknown SCell activation delay in the delay requirement for FR2 SCell activation enhancment.</w:t>
            </w:r>
          </w:p>
          <w:p>
            <w:pPr>
              <w:pStyle w:val="58"/>
              <w:keepNext w:val="0"/>
              <w:keepLines w:val="0"/>
              <w:pageBreakBefore w:val="0"/>
              <w:kinsoku/>
              <w:wordWrap/>
              <w:overflowPunct/>
              <w:topLinePunct w:val="0"/>
              <w:bidi w:val="0"/>
              <w:snapToGrid/>
              <w:spacing w:after="0"/>
              <w:ind w:left="848" w:leftChars="0"/>
              <w:textAlignment w:val="auto"/>
              <w:rPr>
                <w:rFonts w:hint="default"/>
                <w:lang w:val="en-US" w:eastAsia="zh-CN"/>
              </w:rPr>
            </w:pPr>
            <w:r>
              <w:rPr>
                <w:lang w:val="sv-SE" w:eastAsia="ja-JP"/>
              </w:rPr>
              <w:t>X1 can be less than 8  in the beam sweeping factor reduction discussion for cell detection stage in L3 part based on UE capability.</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Still some issues were suspending. In this document, we provide some analysis focused on the following suspending issues around L3 part enhancement.</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The procedure and details of new </w:t>
      </w:r>
      <w:r>
        <w:rPr>
          <w:rFonts w:hint="default" w:eastAsia="宋体"/>
          <w:color w:val="auto"/>
          <w:sz w:val="20"/>
          <w:szCs w:val="20"/>
          <w:lang w:val="en-US" w:eastAsia="zh-CN"/>
        </w:rPr>
        <w:t>categor</w:t>
      </w:r>
      <w:r>
        <w:rPr>
          <w:rFonts w:hint="eastAsia" w:eastAsia="宋体"/>
          <w:color w:val="auto"/>
          <w:sz w:val="20"/>
          <w:szCs w:val="20"/>
          <w:lang w:val="en-US" w:eastAsia="zh-CN"/>
        </w:rPr>
        <w:t>y</w:t>
      </w:r>
      <w:r>
        <w:rPr>
          <w:rFonts w:hint="default" w:eastAsia="宋体"/>
          <w:color w:val="auto"/>
          <w:sz w:val="20"/>
          <w:szCs w:val="20"/>
          <w:lang w:val="en-US" w:eastAsia="zh-CN"/>
        </w:rPr>
        <w:t xml:space="preserve"> for FR2 SCell activation enhancement</w:t>
      </w:r>
    </w:p>
    <w:p>
      <w:pPr>
        <w:widowControl w:val="0"/>
        <w:numPr>
          <w:ilvl w:val="0"/>
          <w:numId w:val="5"/>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w:t>
      </w:r>
      <w:r>
        <w:rPr>
          <w:rFonts w:hint="default" w:eastAsia="宋体"/>
          <w:color w:val="auto"/>
          <w:sz w:val="20"/>
          <w:szCs w:val="20"/>
          <w:lang w:val="en-US" w:eastAsia="zh-CN"/>
        </w:rPr>
        <w:t>ample number related enhancement for L3 part</w:t>
      </w:r>
    </w:p>
    <w:p>
      <w:pPr>
        <w:widowControl w:val="0"/>
        <w:numPr>
          <w:ilvl w:val="0"/>
          <w:numId w:val="5"/>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RS related enhancement for L3 part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4"/>
        <w:rPr>
          <w:rFonts w:hint="eastAsia" w:eastAsia="宋体"/>
          <w:szCs w:val="24"/>
          <w:vertAlign w:val="subscript"/>
          <w:lang w:val="en-US" w:eastAsia="zh-CN"/>
        </w:rPr>
      </w:pPr>
      <w:r>
        <w:rPr>
          <w:rFonts w:hint="eastAsia" w:eastAsia="宋体"/>
          <w:color w:val="auto"/>
          <w:sz w:val="20"/>
          <w:szCs w:val="20"/>
          <w:highlight w:val="none"/>
          <w:lang w:val="en-US" w:eastAsia="zh-CN"/>
        </w:rPr>
        <w:t xml:space="preserve">Regarding to the alignment on the understanding of legacy L3 procedure, it was discussed for several meetings. During last meeting, it has been approved that the component of </w:t>
      </w:r>
      <w:r>
        <w:rPr>
          <w:rFonts w:hint="default" w:eastAsia="宋体"/>
          <w:color w:val="auto"/>
          <w:sz w:val="20"/>
          <w:szCs w:val="20"/>
          <w:highlight w:val="none"/>
          <w:lang w:val="en-US" w:eastAsia="zh-CN"/>
        </w:rPr>
        <w:t>“</w:t>
      </w:r>
      <w:r>
        <w:rPr>
          <w:rFonts w:hint="eastAsia" w:eastAsia="宋体"/>
          <w:szCs w:val="24"/>
          <w:lang w:val="en-US" w:eastAsia="zh-CN"/>
        </w:rPr>
        <w:t>X1</w:t>
      </w:r>
      <w:r>
        <w:rPr>
          <w:rFonts w:eastAsia="宋体"/>
          <w:szCs w:val="24"/>
          <w:lang w:eastAsia="zh-CN"/>
        </w:rPr>
        <w:t>*Trs</w:t>
      </w:r>
      <w:r>
        <w:rPr>
          <w:rFonts w:hint="default" w:eastAsia="宋体"/>
          <w:szCs w:val="24"/>
          <w:lang w:val="en-US" w:eastAsia="zh-CN"/>
        </w:rPr>
        <w:t>”</w:t>
      </w:r>
      <w:r>
        <w:rPr>
          <w:rFonts w:hint="eastAsia" w:eastAsia="宋体"/>
          <w:szCs w:val="24"/>
          <w:lang w:val="en-US" w:eastAsia="zh-CN"/>
        </w:rPr>
        <w:t xml:space="preserve"> should be kept, so we can further discuss the enhancement based on the basic procedure of </w:t>
      </w:r>
      <w:r>
        <w:rPr>
          <w:rFonts w:hint="default" w:eastAsia="宋体"/>
          <w:szCs w:val="24"/>
          <w:lang w:val="en-US" w:eastAsia="zh-CN"/>
        </w:rPr>
        <w:t>“</w:t>
      </w:r>
      <w:r>
        <w:rPr>
          <w:rFonts w:eastAsia="宋体"/>
          <w:szCs w:val="24"/>
          <w:lang w:eastAsia="zh-CN"/>
        </w:rPr>
        <w:t>T</w:t>
      </w:r>
      <w:r>
        <w:rPr>
          <w:rFonts w:eastAsia="宋体"/>
          <w:szCs w:val="24"/>
          <w:vertAlign w:val="subscript"/>
          <w:lang w:eastAsia="zh-CN"/>
        </w:rPr>
        <w:t xml:space="preserve">FirstSSB_MAX </w:t>
      </w:r>
      <w:r>
        <w:rPr>
          <w:rFonts w:eastAsia="宋体"/>
          <w:szCs w:val="24"/>
          <w:lang w:eastAsia="zh-CN"/>
        </w:rPr>
        <w:t>+ 15*T</w:t>
      </w:r>
      <w:r>
        <w:rPr>
          <w:rFonts w:eastAsia="宋体"/>
          <w:szCs w:val="24"/>
          <w:vertAlign w:val="subscript"/>
          <w:lang w:eastAsia="zh-CN"/>
        </w:rPr>
        <w:t xml:space="preserve">SMTC_MAX </w:t>
      </w:r>
      <w:r>
        <w:rPr>
          <w:rFonts w:eastAsia="宋体"/>
          <w:szCs w:val="24"/>
          <w:lang w:eastAsia="zh-CN"/>
        </w:rPr>
        <w:t xml:space="preserve">+ </w:t>
      </w:r>
      <w:r>
        <w:rPr>
          <w:rFonts w:hint="eastAsia" w:eastAsia="宋体"/>
          <w:szCs w:val="24"/>
          <w:lang w:val="en-US" w:eastAsia="zh-CN"/>
        </w:rPr>
        <w:t>X1</w:t>
      </w:r>
      <w:r>
        <w:rPr>
          <w:rFonts w:eastAsia="宋体"/>
          <w:szCs w:val="24"/>
          <w:lang w:eastAsia="zh-CN"/>
        </w:rPr>
        <w:t>*Trs</w:t>
      </w:r>
      <w:r>
        <w:rPr>
          <w:rFonts w:hint="default" w:eastAsia="宋体"/>
          <w:szCs w:val="24"/>
          <w:lang w:val="en-US" w:eastAsia="zh-CN"/>
        </w:rPr>
        <w:t>”</w:t>
      </w:r>
      <w:r>
        <w:rPr>
          <w:rFonts w:hint="eastAsia" w:eastAsia="宋体"/>
          <w:szCs w:val="24"/>
          <w:lang w:val="en-US" w:eastAsia="zh-CN"/>
        </w:rPr>
        <w:t xml:space="preserve"> for L3 part</w:t>
      </w:r>
      <w:r>
        <w:rPr>
          <w:rFonts w:hint="eastAsia" w:eastAsia="宋体"/>
          <w:szCs w:val="24"/>
          <w:vertAlign w:val="subscript"/>
          <w:lang w:val="en-US" w:eastAsia="zh-CN"/>
        </w:rPr>
        <w:t>.</w:t>
      </w:r>
    </w:p>
    <w:p>
      <w:pPr>
        <w:pStyle w:val="28"/>
        <w:widowControl/>
        <w:numPr>
          <w:ilvl w:val="2"/>
          <w:numId w:val="3"/>
        </w:numPr>
        <w:tabs>
          <w:tab w:val="left" w:pos="-840"/>
          <w:tab w:val="clear" w:pos="-1680"/>
        </w:tabs>
        <w:overflowPunct w:val="0"/>
        <w:autoSpaceDE w:val="0"/>
        <w:autoSpaceDN w:val="0"/>
        <w:adjustRightInd w:val="0"/>
        <w:spacing w:after="120" w:line="240" w:lineRule="auto"/>
        <w:ind w:left="696" w:leftChars="0" w:hanging="360" w:firstLineChars="0"/>
        <w:textAlignment w:val="baseline"/>
        <w:rPr>
          <w:rFonts w:hint="eastAsia" w:eastAsia="宋体"/>
          <w:color w:val="auto"/>
          <w:sz w:val="20"/>
          <w:szCs w:val="20"/>
          <w:highlight w:val="none"/>
          <w:lang w:val="en-US" w:eastAsia="zh-CN"/>
        </w:rPr>
      </w:pPr>
      <w:r>
        <w:rPr>
          <w:color w:val="auto"/>
          <w:sz w:val="20"/>
          <w:szCs w:val="20"/>
          <w:lang w:val="en-US"/>
        </w:rPr>
        <w:t>T</w:t>
      </w:r>
      <w:r>
        <w:rPr>
          <w:color w:val="auto"/>
          <w:sz w:val="20"/>
          <w:szCs w:val="20"/>
          <w:vertAlign w:val="subscript"/>
          <w:lang w:val="en-US"/>
        </w:rPr>
        <w:t>FirstSSB_MAX</w:t>
      </w:r>
      <w:r>
        <w:rPr>
          <w:color w:val="auto"/>
          <w:sz w:val="20"/>
          <w:szCs w:val="20"/>
          <w:lang w:val="en-US"/>
        </w:rPr>
        <w:t xml:space="preserve"> + 15*T</w:t>
      </w:r>
      <w:r>
        <w:rPr>
          <w:color w:val="auto"/>
          <w:sz w:val="20"/>
          <w:szCs w:val="20"/>
          <w:vertAlign w:val="subscript"/>
          <w:lang w:val="en-US"/>
        </w:rPr>
        <w:t>SMTC_MAX</w:t>
      </w:r>
      <w:r>
        <w:rPr>
          <w:rFonts w:hint="eastAsia" w:ascii="Times New Roman" w:hAnsi="Times New Roman" w:eastAsia="宋体" w:cs="Times New Roman"/>
          <w:color w:val="auto"/>
          <w:kern w:val="0"/>
          <w:sz w:val="20"/>
          <w:szCs w:val="20"/>
          <w:highlight w:val="none"/>
          <w:lang w:val="en-US" w:eastAsia="zh-CN" w:bidi="ar-SA"/>
        </w:rPr>
        <w:t>: AGC (1 sample for coarse AGC and 1 sample for fine AGC)</w:t>
      </w:r>
    </w:p>
    <w:p>
      <w:pPr>
        <w:pStyle w:val="28"/>
        <w:widowControl/>
        <w:numPr>
          <w:ilvl w:val="2"/>
          <w:numId w:val="3"/>
        </w:numPr>
        <w:tabs>
          <w:tab w:val="left" w:pos="-840"/>
          <w:tab w:val="clear" w:pos="-1680"/>
        </w:tabs>
        <w:overflowPunct w:val="0"/>
        <w:autoSpaceDE w:val="0"/>
        <w:autoSpaceDN w:val="0"/>
        <w:adjustRightInd w:val="0"/>
        <w:spacing w:after="120" w:line="240" w:lineRule="auto"/>
        <w:ind w:left="696" w:leftChars="0" w:hanging="360" w:firstLineChars="0"/>
        <w:textAlignment w:val="baseline"/>
        <w:rPr>
          <w:rFonts w:hint="eastAsia" w:eastAsia="宋体"/>
          <w:color w:val="auto"/>
          <w:sz w:val="20"/>
          <w:szCs w:val="20"/>
          <w:highlight w:val="none"/>
          <w:lang w:val="en-US" w:eastAsia="zh-CN"/>
        </w:rPr>
      </w:pPr>
      <w:r>
        <w:rPr>
          <w:rFonts w:hint="eastAsia"/>
          <w:color w:val="auto"/>
          <w:sz w:val="20"/>
          <w:szCs w:val="20"/>
          <w:lang w:val="en-US" w:eastAsia="zh-CN"/>
        </w:rPr>
        <w:t>X1</w:t>
      </w:r>
      <w:r>
        <w:rPr>
          <w:color w:val="auto"/>
          <w:sz w:val="20"/>
          <w:szCs w:val="20"/>
          <w:lang w:val="en-US"/>
        </w:rPr>
        <w:t>*T</w:t>
      </w:r>
      <w:r>
        <w:rPr>
          <w:color w:val="auto"/>
          <w:sz w:val="20"/>
          <w:szCs w:val="20"/>
          <w:vertAlign w:val="subscript"/>
          <w:lang w:val="en-US"/>
        </w:rPr>
        <w:t>rs</w:t>
      </w:r>
      <w:r>
        <w:rPr>
          <w:rFonts w:hint="eastAsia" w:ascii="Times New Roman" w:hAnsi="Times New Roman" w:eastAsia="宋体" w:cs="Times New Roman"/>
          <w:color w:val="auto"/>
          <w:kern w:val="0"/>
          <w:sz w:val="20"/>
          <w:szCs w:val="20"/>
          <w:highlight w:val="none"/>
          <w:lang w:val="en-US" w:eastAsia="zh-CN" w:bidi="ar-SA"/>
        </w:rPr>
        <w:t>: cell search, time/frequency synchronization, time/frequency tracking</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the procedure of AGC adjustment, the UE would perform AGC to obtain the gain factor since when the UE is tuning in to an SCell without any prior info, it has to determine the general signal levels on the SCell, in order to set the LNA to an operating point where saturation of the received signal is avoided. 2 samples are used and the assumption of Rx beam sweeping number is 8.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During the procedure of cell search, the UE has to achieve coarse timing, track T/F synchronization. UE needs to settle the gain setting for the to-be-activated SCell during AGC adjustment firstly, then UE can perform cell search with T/F tracking based on SSB to derive timing for later L1-RSRP measurement. Only 1 sample is required and the Rx beam sweeping number can be reduced to X1 since of some rough beam info has been achieved during AGC operation.</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1</w:t>
      </w:r>
      <w:r>
        <w:rPr>
          <w:rFonts w:hint="eastAsia" w:ascii="Helvetica" w:hAnsi="Helvetica" w:eastAsia="宋体" w:cs="Times New Roman"/>
          <w:b/>
          <w:bCs/>
          <w:iCs w:val="0"/>
          <w:color w:val="auto"/>
          <w:kern w:val="32"/>
          <w:sz w:val="28"/>
          <w:szCs w:val="32"/>
          <w:lang w:val="en-US" w:eastAsia="zh-CN" w:bidi="ar-SA"/>
        </w:rPr>
        <w:t xml:space="preserve"> The procedure and details of new category for FR2 SCell activation enhancement</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previous meetings, companies have deeply discussed about the new category of SCell, including whether any new state is necessary to be reflected in the spec and the details based on the new category. Based on the already approved conclusions, to further identify the whole procedure and details, we can go through the following sub issues step by step. To distinguish the legacy L3 report and the possible new L3 report during L3 part, we name the possible new L3 report as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quick report</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category of SCell</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How to trigger the quick report</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procedure of such enhancement based on new category</w:t>
      </w:r>
    </w:p>
    <w:p>
      <w:pPr>
        <w:pStyle w:val="4"/>
        <w:numPr>
          <w:ilvl w:val="0"/>
          <w:numId w:val="6"/>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Report configuration</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Whether and how to distinguish valid and invalid report</w:t>
      </w:r>
    </w:p>
    <w:p>
      <w:pPr>
        <w:pStyle w:val="4"/>
        <w:numPr>
          <w:ilvl w:val="0"/>
          <w:numId w:val="6"/>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necessity of reporting if UE has no valid measurement results</w:t>
      </w:r>
    </w:p>
    <w:p>
      <w:pPr>
        <w:pStyle w:val="4"/>
        <w:numPr>
          <w:ilvl w:val="0"/>
          <w:numId w:val="0"/>
        </w:numPr>
        <w:ind w:leftChars="0"/>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The category of SCell</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Firstly we can review the legacy FR2 SCell activation procedure as shown in Figure 1. It can be shown that for the case of non intra-band already active serving cell existence, it was classified into two categories: Target SCell is known and target SCell is unknown.</w:t>
      </w:r>
    </w:p>
    <w:p>
      <w:pPr>
        <w:numPr>
          <w:ilvl w:val="0"/>
          <w:numId w:val="0"/>
        </w:numPr>
        <w:jc w:val="center"/>
        <w:rPr>
          <w:rFonts w:cs="v4.2.0"/>
        </w:rPr>
      </w:pPr>
      <w:r>
        <w:drawing>
          <wp:inline distT="0" distB="0" distL="114300" distR="114300">
            <wp:extent cx="4675505" cy="3047365"/>
            <wp:effectExtent l="0" t="0" r="3175" b="63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
                    <a:stretch>
                      <a:fillRect/>
                    </a:stretch>
                  </pic:blipFill>
                  <pic:spPr>
                    <a:xfrm>
                      <a:off x="0" y="0"/>
                      <a:ext cx="4675505" cy="3047365"/>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Figure 1:  All cases for FR2 SCell activation(Highlighted in red are R17 enhanced cases)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distinguish between legacy known and unknown in FR2 is defined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tabs>
                <w:tab w:val="left" w:pos="0"/>
              </w:tabs>
              <w:kinsoku/>
              <w:wordWrap/>
              <w:overflowPunct/>
              <w:topLinePunct w:val="0"/>
              <w:autoSpaceDE/>
              <w:autoSpaceDN/>
              <w:bidi w:val="0"/>
              <w:adjustRightInd/>
              <w:snapToGrid/>
              <w:textAlignment w:val="auto"/>
              <w:rPr>
                <w:sz w:val="18"/>
                <w:szCs w:val="18"/>
                <w:highlight w:val="none"/>
                <w:lang w:eastAsia="zh-CN"/>
              </w:rPr>
            </w:pPr>
            <w:r>
              <w:rPr>
                <w:sz w:val="18"/>
                <w:szCs w:val="18"/>
                <w:lang w:eastAsia="zh-CN"/>
              </w:rPr>
              <w:t>For the first SCell activat</w:t>
            </w:r>
            <w:r>
              <w:rPr>
                <w:sz w:val="18"/>
                <w:szCs w:val="18"/>
                <w:highlight w:val="none"/>
                <w:lang w:eastAsia="zh-CN"/>
              </w:rPr>
              <w:t>ion in FR2 bands, the SCell is known if it has been meeting the following conditions:</w:t>
            </w:r>
          </w:p>
          <w:p>
            <w:pPr>
              <w:pStyle w:val="30"/>
              <w:keepNext w:val="0"/>
              <w:keepLines w:val="0"/>
              <w:pageBreakBefore w:val="0"/>
              <w:widowControl w:val="0"/>
              <w:kinsoku/>
              <w:wordWrap/>
              <w:overflowPunct/>
              <w:topLinePunct w:val="0"/>
              <w:autoSpaceDE/>
              <w:autoSpaceDN/>
              <w:bidi w:val="0"/>
              <w:adjustRightInd/>
              <w:snapToGrid/>
              <w:textAlignment w:val="auto"/>
              <w:rPr>
                <w:sz w:val="18"/>
                <w:szCs w:val="18"/>
              </w:rPr>
            </w:pPr>
            <w:r>
              <w:rPr>
                <w:sz w:val="18"/>
                <w:szCs w:val="18"/>
                <w:highlight w:val="none"/>
              </w:rPr>
              <w:t>-</w:t>
            </w:r>
            <w:r>
              <w:rPr>
                <w:sz w:val="18"/>
                <w:szCs w:val="18"/>
                <w:highlight w:val="none"/>
              </w:rPr>
              <w:tab/>
            </w:r>
            <w:r>
              <w:rPr>
                <w:sz w:val="18"/>
                <w:szCs w:val="18"/>
                <w:highlight w:val="none"/>
              </w:rPr>
              <w:t xml:space="preserve">During the period equal to </w:t>
            </w:r>
            <w:r>
              <w:rPr>
                <w:sz w:val="18"/>
                <w:szCs w:val="18"/>
                <w:highlight w:val="none"/>
                <w:lang w:eastAsia="zh-CN"/>
              </w:rPr>
              <w:t>4s for UE supporting power class 1/5 and 3s for UE s</w:t>
            </w:r>
            <w:r>
              <w:rPr>
                <w:sz w:val="18"/>
                <w:szCs w:val="18"/>
                <w:lang w:eastAsia="zh-CN"/>
              </w:rPr>
              <w:t>upporting power class 2/3/4 before UE receives the last activation command for PDCCH TCI, PDSCH TCI (when applicable) and semi-persistent CSI-RS for CQI reporting (when applicable)</w:t>
            </w:r>
            <w:r>
              <w:rPr>
                <w:sz w:val="18"/>
                <w:szCs w:val="18"/>
              </w:rPr>
              <w:t>:</w:t>
            </w:r>
          </w:p>
          <w:p>
            <w:pPr>
              <w:pStyle w:val="57"/>
              <w:keepNext w:val="0"/>
              <w:keepLines w:val="0"/>
              <w:pageBreakBefore w:val="0"/>
              <w:widowControl w:val="0"/>
              <w:numPr>
                <w:ilvl w:val="0"/>
                <w:numId w:val="0"/>
              </w:numPr>
              <w:kinsoku/>
              <w:wordWrap/>
              <w:overflowPunct/>
              <w:topLinePunct w:val="0"/>
              <w:autoSpaceDE/>
              <w:autoSpaceDN/>
              <w:bidi w:val="0"/>
              <w:adjustRightInd/>
              <w:snapToGrid/>
              <w:ind w:left="400" w:leftChars="200"/>
              <w:textAlignment w:val="auto"/>
              <w:rPr>
                <w:rFonts w:hint="default" w:eastAsia="宋体"/>
                <w:sz w:val="18"/>
                <w:szCs w:val="18"/>
                <w:lang w:val="en-US" w:eastAsia="zh-CN"/>
              </w:rPr>
            </w:pPr>
            <w:r>
              <w:rPr>
                <w:sz w:val="18"/>
                <w:szCs w:val="18"/>
              </w:rPr>
              <w:t>-</w:t>
            </w:r>
            <w:r>
              <w:rPr>
                <w:sz w:val="18"/>
                <w:szCs w:val="18"/>
              </w:rPr>
              <w:tab/>
            </w:r>
            <w:r>
              <w:rPr>
                <w:sz w:val="18"/>
                <w:szCs w:val="18"/>
              </w:rPr>
              <w:t>the UE has sent a valid</w:t>
            </w:r>
            <w:r>
              <w:rPr>
                <w:sz w:val="18"/>
                <w:szCs w:val="18"/>
                <w:lang w:eastAsia="zh-CN"/>
              </w:rPr>
              <w:t xml:space="preserve"> L3-RSRP</w:t>
            </w:r>
            <w:r>
              <w:rPr>
                <w:sz w:val="18"/>
                <w:szCs w:val="18"/>
              </w:rPr>
              <w:t xml:space="preserve"> measurement report</w:t>
            </w:r>
            <w:r>
              <w:rPr>
                <w:sz w:val="18"/>
                <w:szCs w:val="18"/>
                <w:lang w:eastAsia="zh-CN"/>
              </w:rPr>
              <w:t xml:space="preserve"> with SSB index</w:t>
            </w:r>
            <w:r>
              <w:rPr>
                <w:sz w:val="18"/>
                <w:szCs w:val="18"/>
              </w:rPr>
              <w:t xml:space="preserve"> </w:t>
            </w:r>
          </w:p>
          <w:p>
            <w:pPr>
              <w:pStyle w:val="57"/>
              <w:keepNext w:val="0"/>
              <w:keepLines w:val="0"/>
              <w:pageBreakBefore w:val="0"/>
              <w:widowControl w:val="0"/>
              <w:numPr>
                <w:ilvl w:val="0"/>
                <w:numId w:val="0"/>
              </w:numPr>
              <w:kinsoku/>
              <w:wordWrap/>
              <w:overflowPunct/>
              <w:topLinePunct w:val="0"/>
              <w:autoSpaceDE/>
              <w:autoSpaceDN/>
              <w:bidi w:val="0"/>
              <w:adjustRightInd/>
              <w:snapToGrid/>
              <w:ind w:left="400" w:leftChars="200"/>
              <w:textAlignment w:val="auto"/>
              <w:rPr>
                <w:sz w:val="18"/>
                <w:szCs w:val="18"/>
                <w:lang w:eastAsia="zh-CN"/>
              </w:rPr>
            </w:pPr>
            <w:r>
              <w:rPr>
                <w:sz w:val="18"/>
                <w:szCs w:val="18"/>
              </w:rPr>
              <w:t>-</w:t>
            </w:r>
            <w:r>
              <w:rPr>
                <w:sz w:val="18"/>
                <w:szCs w:val="18"/>
              </w:rPr>
              <w:tab/>
            </w:r>
            <w:r>
              <w:rPr>
                <w:sz w:val="18"/>
                <w:szCs w:val="18"/>
              </w:rPr>
              <w:t>SCell activation command is received after L3-RSRP reporting and no later than the time when UE receives MAC-CE command for TCI activation</w:t>
            </w:r>
          </w:p>
          <w:p>
            <w:pPr>
              <w:pStyle w:val="30"/>
              <w:keepNext w:val="0"/>
              <w:keepLines w:val="0"/>
              <w:pageBreakBefore w:val="0"/>
              <w:widowControl w:val="0"/>
              <w:kinsoku/>
              <w:wordWrap/>
              <w:overflowPunct/>
              <w:topLinePunct w:val="0"/>
              <w:autoSpaceDE/>
              <w:autoSpaceDN/>
              <w:bidi w:val="0"/>
              <w:adjustRightInd/>
              <w:snapToGrid/>
              <w:textAlignment w:val="auto"/>
              <w:rPr>
                <w:rFonts w:hint="default" w:eastAsia="宋体"/>
                <w:sz w:val="18"/>
                <w:szCs w:val="18"/>
                <w:lang w:val="en-US" w:eastAsia="zh-CN"/>
              </w:rPr>
            </w:pPr>
            <w:r>
              <w:rPr>
                <w:sz w:val="18"/>
                <w:szCs w:val="18"/>
                <w:lang w:eastAsia="zh-CN"/>
              </w:rPr>
              <w:t>-</w:t>
            </w:r>
            <w:r>
              <w:rPr>
                <w:sz w:val="18"/>
                <w:szCs w:val="18"/>
                <w:lang w:eastAsia="zh-CN"/>
              </w:rPr>
              <w:tab/>
            </w:r>
            <w:r>
              <w:rPr>
                <w:sz w:val="18"/>
                <w:szCs w:val="18"/>
                <w:lang w:eastAsia="zh-CN"/>
              </w:rPr>
              <w:t>During the period from L3-RSRP reporting to the valid CQI reporting, the</w:t>
            </w:r>
            <w:r>
              <w:rPr>
                <w:sz w:val="18"/>
                <w:szCs w:val="18"/>
              </w:rPr>
              <w:t xml:space="preserve"> </w:t>
            </w:r>
            <w:r>
              <w:rPr>
                <w:sz w:val="18"/>
                <w:szCs w:val="18"/>
                <w:lang w:eastAsia="zh-CN"/>
              </w:rPr>
              <w:t xml:space="preserve">reported </w:t>
            </w:r>
            <w:r>
              <w:rPr>
                <w:sz w:val="18"/>
                <w:szCs w:val="18"/>
              </w:rPr>
              <w:t>SSB</w:t>
            </w:r>
            <w:r>
              <w:rPr>
                <w:sz w:val="18"/>
                <w:szCs w:val="18"/>
                <w:lang w:eastAsia="zh-CN"/>
              </w:rPr>
              <w:t>s</w:t>
            </w:r>
            <w:r>
              <w:rPr>
                <w:sz w:val="18"/>
                <w:szCs w:val="18"/>
              </w:rPr>
              <w:t xml:space="preserve"> </w:t>
            </w:r>
            <w:r>
              <w:rPr>
                <w:sz w:val="18"/>
                <w:szCs w:val="18"/>
                <w:lang w:eastAsia="zh-CN"/>
              </w:rPr>
              <w:t xml:space="preserve">with indexes </w:t>
            </w:r>
            <w:r>
              <w:rPr>
                <w:sz w:val="18"/>
                <w:szCs w:val="18"/>
              </w:rPr>
              <w:t xml:space="preserve">remain </w:t>
            </w:r>
            <w:r>
              <w:rPr>
                <w:sz w:val="18"/>
                <w:szCs w:val="18"/>
                <w:highlight w:val="none"/>
              </w:rPr>
              <w:t xml:space="preserve">detectable </w:t>
            </w:r>
            <w:r>
              <w:rPr>
                <w:sz w:val="18"/>
                <w:szCs w:val="18"/>
              </w:rPr>
              <w:t xml:space="preserve">according to the cell identification conditions specified in </w:t>
            </w:r>
            <w:r>
              <w:rPr>
                <w:sz w:val="18"/>
                <w:szCs w:val="18"/>
                <w:lang w:val="en-US"/>
              </w:rPr>
              <w:t>clauses</w:t>
            </w:r>
            <w:r>
              <w:rPr>
                <w:sz w:val="18"/>
                <w:szCs w:val="18"/>
              </w:rPr>
              <w:t xml:space="preserve"> 9.2 and 9.3</w:t>
            </w:r>
            <w:r>
              <w:rPr>
                <w:sz w:val="18"/>
                <w:szCs w:val="18"/>
                <w:lang w:eastAsia="zh-CN"/>
              </w:rPr>
              <w:t>, and the TCI state is selected based on one of the latest reported SSB indexes</w:t>
            </w:r>
            <w:r>
              <w:rPr>
                <w:sz w:val="18"/>
                <w:szCs w:val="18"/>
              </w:rPr>
              <w:t>.</w:t>
            </w:r>
            <w:r>
              <w:rPr>
                <w:rFonts w:hint="eastAsia"/>
                <w:sz w:val="18"/>
                <w:szCs w:val="18"/>
                <w:lang w:val="en-US" w:eastAsia="zh-CN"/>
              </w:rPr>
              <w:t xml:space="preserve"> </w:t>
            </w:r>
          </w:p>
          <w:p>
            <w:pPr>
              <w:pStyle w:val="4"/>
              <w:rPr>
                <w:rFonts w:hint="default" w:eastAsia="宋体"/>
                <w:color w:val="auto"/>
                <w:sz w:val="20"/>
                <w:szCs w:val="20"/>
                <w:highlight w:val="none"/>
                <w:vertAlign w:val="baseline"/>
                <w:lang w:val="en-US" w:eastAsia="zh-CN"/>
              </w:rPr>
            </w:pPr>
            <w:r>
              <w:rPr>
                <w:sz w:val="18"/>
                <w:szCs w:val="18"/>
                <w:lang w:eastAsia="zh-CN"/>
              </w:rPr>
              <w:t>Otherwise, the first SCell in FR2 band is unknown.</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It can be summarized that once two factors are satisfied, i.e. UE has sent valid L3 report during some period + the reported SSB index of to-be-activated SCell keeps detectable, then the SCell is known; Otherwise, the SCell is unknown. For the known case, no L3 part is needed. While for the unknown case, both AGC and cell search are needed in legacy.</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As many companies proposed in previous meetings, for the case that the UE has already known about the to-be-activated SCell but only not satisfy the above known condition, in fact the procedure can be accelerated since of some helpful prior info. So a mediate state between known and unknown was proposed during previous meeting. Such solution was agreed by all companies in previous meetings but the details are still suspending. Further more, to avoid the workload to discuss how to define such mediate state in spec, maybe only such solution is used but not any new terminology is introduced in this WI.</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To avoid additional workload to discuss how to define a mediate state between known and unknown in spec, only such solution is applied but not any new terminology is introduced in this WI.</w:t>
      </w:r>
    </w:p>
    <w:p>
      <w:pPr>
        <w:pStyle w:val="4"/>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How to trigger the quick report</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last meeting, the following options were proposed to address this issue: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928" w:hanging="363" w:firstLineChars="0"/>
              <w:textAlignment w:val="auto"/>
              <w:rPr>
                <w:rFonts w:eastAsia="宋体"/>
                <w:color w:val="auto"/>
              </w:rPr>
            </w:pPr>
            <w:r>
              <w:rPr>
                <w:rFonts w:eastAsia="宋体"/>
                <w:color w:val="auto"/>
              </w:rPr>
              <w:t xml:space="preserve">For unknown FR2 SCell activation enhancement, </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1536" w:leftChars="0" w:hanging="360" w:firstLineChars="0"/>
              <w:textAlignment w:val="auto"/>
              <w:rPr>
                <w:rFonts w:eastAsia="宋体"/>
                <w:color w:val="auto"/>
              </w:rPr>
            </w:pPr>
            <w:r>
              <w:rPr>
                <w:rFonts w:eastAsia="宋体"/>
                <w:color w:val="auto"/>
              </w:rPr>
              <w:t xml:space="preserve">Option 1 (last meeting agreement in issue 1-1-2 of R4-2220440):  </w:t>
            </w:r>
            <w:r>
              <w:rPr>
                <w:color w:val="auto"/>
              </w:rPr>
              <w:t>Trigger to report L3 measurement after SCell activation command</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1536" w:leftChars="0" w:hanging="360" w:firstLineChars="0"/>
              <w:textAlignment w:val="auto"/>
              <w:rPr>
                <w:rFonts w:hint="default"/>
                <w:vertAlign w:val="baseline"/>
                <w:lang w:val="en-US" w:eastAsia="zh-CN"/>
              </w:rPr>
            </w:pPr>
            <w:r>
              <w:rPr>
                <w:rFonts w:eastAsia="宋体"/>
                <w:color w:val="auto"/>
              </w:rPr>
              <w:t xml:space="preserve">Option 2: Trigger to report L3 measurement </w:t>
            </w:r>
            <w:r>
              <w:rPr>
                <w:rFonts w:eastAsia="宋体"/>
                <w:b/>
                <w:bCs/>
                <w:color w:val="auto"/>
              </w:rPr>
              <w:t>before</w:t>
            </w:r>
            <w:r>
              <w:rPr>
                <w:rFonts w:eastAsia="宋体"/>
                <w:color w:val="auto"/>
              </w:rPr>
              <w:t xml:space="preserve"> and after SCell activation command</w:t>
            </w:r>
          </w:p>
        </w:tc>
      </w:tr>
    </w:tbl>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From our view, we believe Option 1 is the most straightforward solution. For Option 2, we believe which aims to trigger such quick report more flexibly so that UE can report it in advance. However as the majority recognized, such quick report is the measurement results that UE has been already prepared before the SCell activation command arrived. So that once receiving the SCell activation command, the UE can report such measurement results as soon as possible. From the perspective of efficiency, it is enough. The cost of earlier report before the SCell activation command is additional trigger command transmission, we do not believe it is very necessary.</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report triggering, triggering by the SCell activation command is the most straightforward solution. We do not believe it is necessary to trigger such report in advance of SCell activation triggering.</w:t>
      </w:r>
    </w:p>
    <w:p>
      <w:pPr>
        <w:pStyle w:val="4"/>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The procedure of such enhancement based on new category</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Based on the solution of introducing a mediate state between known and unknown, it is necessary to detect when such mediate state is satisfied and how to reduce the legacy procedure under such mediate state. </w:t>
      </w:r>
    </w:p>
    <w:p>
      <w:pPr>
        <w:pStyle w:val="4"/>
        <w:numPr>
          <w:ilvl w:val="0"/>
          <w:numId w:val="0"/>
        </w:numPr>
        <w:ind w:leftChars="0"/>
      </w:pPr>
      <w:r>
        <w:drawing>
          <wp:inline distT="0" distB="0" distL="114300" distR="114300">
            <wp:extent cx="5900420" cy="977900"/>
            <wp:effectExtent l="0" t="0" r="1270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900420" cy="977900"/>
                    </a:xfrm>
                    <a:prstGeom prst="rect">
                      <a:avLst/>
                    </a:prstGeom>
                    <a:noFill/>
                    <a:ln>
                      <a:noFill/>
                    </a:ln>
                  </pic:spPr>
                </pic:pic>
              </a:graphicData>
            </a:graphic>
          </wp:inline>
        </w:drawing>
      </w:r>
    </w:p>
    <w:p>
      <w:pPr>
        <w:numPr>
          <w:ilvl w:val="0"/>
          <w:numId w:val="0"/>
        </w:numPr>
        <w:jc w:val="center"/>
        <w:rPr>
          <w:rFonts w:hint="default"/>
          <w:lang w:val="en-US" w:eastAsia="zh-CN"/>
        </w:rPr>
      </w:pPr>
      <w:r>
        <w:rPr>
          <w:rFonts w:hint="eastAsia"/>
          <w:lang w:val="en-US" w:eastAsia="zh-CN"/>
        </w:rPr>
        <w:t>Figure 2:  The procedure based on new category</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Once receiving the FR2 SCell activation command, the UE can detect which state it is belong currently. Legacy known condition can be reused here. Legacy unknown state can be split into the other two states: mediate state and unknown state. How to distinguish between mediate state and unknown state, the key point is that whether UE has sent the L3 report to NW within 4/3s. If UE has performed L3 measurement but not report to NW, it is seemed as mediate state. Otherwise, deem as unknown state. </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case of mediate state, which means UE has prepared L3 report already, then UE can transmit quick report to NW, to let NW know about the suitable beam and the corresponding RSRP/RSRQ, so that NW can acquire the beam information of the to-be-activated SCell. Since the UE has performed measurement before, then the reduced L3 part is expected under such case. After review companies</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view around the reduced L3 part, multiple companies believe it can directly be the legacy known status since the NW has acquired the necessary info same as known status. We agree such view, so for the mediate state, once the valid quick report is transmitted to NW, then proceed as the known case, i.e. the L3 part can be skipped.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An additional mediate state is considered for the whole procedure. Regarding to the exact condition between different states, legacy known condition can be reused to detect whether belong to known state. While the legacy unknown state is splitted into mediate state and unknown state.</w:t>
      </w:r>
    </w:p>
    <w:p>
      <w:pPr>
        <w:pStyle w:val="4"/>
        <w:rPr>
          <w:rFonts w:hint="eastAsia"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4: Under the case of mediate state, the UE has to transmit quick report to NW to inform its optimized SSB index and the corresponding RSRP/RSRQ. After such valid quick report, the UE in mediate state applies the subsequent procedure same as known case.</w:t>
      </w:r>
    </w:p>
    <w:p>
      <w:pPr>
        <w:pStyle w:val="4"/>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Report configuration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motivation of splitting the legacy unknown state into an additional mediate state and unknown state, is to accelerate the whole procedure of SCell activation so as to reduce the latency. So if additional interaction between UE and NW introduced, it should be as fast as possible. Further more, based on the definition of mediate state above, in fact UE has prepared the report already, just need to send it to NW. So such quick report can be triggered by the SCell activation command, this is the most efficient way. </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specification in [3], there are three types of L3 report currently: periodic report, event triggered report and conditional triggered report. Regarding to the report type, we believe seem as the aperiodic report, i.e. one-shot report is fine. So the configuration of event trigger report can be reused. If classifying the quick report here as a new event, we can describe such new event triggered report from the following main aspects:</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Entering condition</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Leaving condition</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Time to trigger</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Report quantity</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Referring to the Entering condition, in our opinion, three factors should be considered: Receiving the SCell activation command, The target SCell is not satisfied with known condition and the UE has already performed measurement before.</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Referring to the leaving condition, if such quick report is only one-shot, once UE transmits the report once, then UE can leave the event.</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Time to trigger, now there are multiple candidates, such as 0 ms, 40 ms, 64 ms, 80 ms etc. From the perspective of more efficient report, such time duration should be as small as possible.</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Report quantity, SSB index plus the corresponding RSRP/RSRQ is enough.</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Once receiving such quick report, then NW and UE have the aligned understanding that the later procedure under known case would be performed. Otherwise, UE should perform the procedure of unknown case.</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pPr>
        <w:pStyle w:val="4"/>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Whether and how to distinguish valid and invalid report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previous meeting, the concern of whether the quick report is valid or invalid was raised by some company. In our view, the distinguish between valid and invalid may lie in two conditions:</w:t>
      </w:r>
    </w:p>
    <w:p>
      <w:pPr>
        <w:pStyle w:val="4"/>
        <w:numPr>
          <w:ilvl w:val="0"/>
          <w:numId w:val="8"/>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Whether the measurement report is fresh enough. </w:t>
      </w:r>
    </w:p>
    <w:p>
      <w:pPr>
        <w:pStyle w:val="4"/>
        <w:numPr>
          <w:ilvl w:val="0"/>
          <w:numId w:val="8"/>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Whether the quality of measurement result in the report is good or available enough.</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condition, in fact the legacy L3 report is also in the same situation, UE decides the measurement report derived from which measurement occasions, so it is not a new issue. Maybe we only need to introduce some general guideline to identify whether the report is valid or not, such as whether it is measured not earlier than [X]s. In any case, NW can not recognize whether the received quick report is valid or not, it can only be identified from UE side similar as legacy L3 report. So once receiving such quick report, NW can believe the received report is fresh enough.</w:t>
      </w:r>
    </w:p>
    <w:p>
      <w:pPr>
        <w:pStyle w:val="4"/>
        <w:numPr>
          <w:ilvl w:val="0"/>
          <w:numId w:val="0"/>
        </w:numPr>
        <w:ind w:leftChars="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1: Regarding to whether the report is fresh enough or not, NW can not recognize, in fact the legacy L3 report is also in the same situation. So it is not a new issue.</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condition, from the perspective of UE behavior, if the UE always feedback the triggered quick report no matter the quality of measurement result is good or not, then it is possible a poor measurement result be fed back to the NW. Under such situation, the received quick report is not a valid report since the NW can not obtain useful RSRP and SSB index info. So we believe a valid report should be verified from the perspective of signal quality.</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2: If a poor measurement result is fed back to the NW, the NW can not obtain useful RSRP and SSB index info from such quick report.</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Therefore, we believe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condition can be ignored, however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condition should be considered to identify whether the quick report is valid or not.</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To address the concern of the quick report is valid or not, the verification lies in two aspects:</w:t>
      </w:r>
    </w:p>
    <w:p>
      <w:pPr>
        <w:pStyle w:val="4"/>
        <w:numPr>
          <w:ilvl w:val="0"/>
          <w:numId w:val="9"/>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Whether the measurement report is fresh enough. </w:t>
      </w:r>
    </w:p>
    <w:p>
      <w:pPr>
        <w:pStyle w:val="4"/>
        <w:numPr>
          <w:ilvl w:val="0"/>
          <w:numId w:val="9"/>
        </w:numPr>
        <w:ind w:left="0" w:leftChars="0" w:firstLine="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the quality of measurement result in the report is good or available enough.</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1</w:t>
      </w:r>
      <w:r>
        <w:rPr>
          <w:rFonts w:hint="eastAsia" w:eastAsia="宋体" w:cs="Times New Roman"/>
          <w:b/>
          <w:bCs/>
          <w:color w:val="auto"/>
          <w:sz w:val="20"/>
          <w:szCs w:val="20"/>
          <w:highlight w:val="none"/>
          <w:vertAlign w:val="superscript"/>
          <w:lang w:val="en-US" w:eastAsia="zh-CN" w:bidi="ar-SA"/>
        </w:rPr>
        <w:t>st</w:t>
      </w:r>
      <w:r>
        <w:rPr>
          <w:rFonts w:hint="eastAsia" w:eastAsia="宋体" w:cs="Times New Roman"/>
          <w:b/>
          <w:bCs/>
          <w:color w:val="auto"/>
          <w:sz w:val="20"/>
          <w:szCs w:val="20"/>
          <w:highlight w:val="none"/>
          <w:lang w:val="en-US" w:eastAsia="zh-CN" w:bidi="ar-SA"/>
        </w:rPr>
        <w:t xml:space="preserve"> aspect can be ignored since same issue exists in legacy L3 report. The 2</w:t>
      </w:r>
      <w:r>
        <w:rPr>
          <w:rFonts w:hint="eastAsia" w:eastAsia="宋体" w:cs="Times New Roman"/>
          <w:b/>
          <w:bCs/>
          <w:color w:val="auto"/>
          <w:sz w:val="20"/>
          <w:szCs w:val="20"/>
          <w:highlight w:val="none"/>
          <w:vertAlign w:val="superscript"/>
          <w:lang w:val="en-US" w:eastAsia="zh-CN" w:bidi="ar-SA"/>
        </w:rPr>
        <w:t>nd</w:t>
      </w:r>
      <w:r>
        <w:rPr>
          <w:rFonts w:hint="eastAsia" w:eastAsia="宋体" w:cs="Times New Roman"/>
          <w:b/>
          <w:bCs/>
          <w:color w:val="auto"/>
          <w:sz w:val="20"/>
          <w:szCs w:val="20"/>
          <w:highlight w:val="none"/>
          <w:lang w:val="en-US" w:eastAsia="zh-CN" w:bidi="ar-SA"/>
        </w:rPr>
        <w:t xml:space="preserve"> aspect should be considered to guarantee the NW can obtain useful RSRP and SSB index info from the report.</w:t>
      </w:r>
    </w:p>
    <w:p>
      <w:pPr>
        <w:pStyle w:val="4"/>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The necessity of reporting if UE has no valid measurement results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Once the possibility of invalid measurement results exists, this issue should be identified. During last meeting, the following options were proposed: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816" w:hanging="363" w:firstLineChars="0"/>
              <w:textAlignment w:val="auto"/>
              <w:rPr>
                <w:color w:val="auto"/>
              </w:rPr>
            </w:pPr>
            <w:r>
              <w:rPr>
                <w:rFonts w:eastAsia="宋体"/>
                <w:color w:val="auto"/>
              </w:rPr>
              <w:t xml:space="preserve">Option 1: </w:t>
            </w:r>
            <w:r>
              <w:rPr>
                <w:color w:val="auto"/>
              </w:rPr>
              <w:t>No need to report L3 measurement reporting after receiving SCell activation command if UE has no valid measurement results.</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816" w:hanging="363" w:firstLineChars="0"/>
              <w:textAlignment w:val="auto"/>
              <w:rPr>
                <w:rFonts w:eastAsia="宋体"/>
                <w:color w:val="auto"/>
              </w:rPr>
            </w:pPr>
            <w:r>
              <w:rPr>
                <w:rFonts w:eastAsia="宋体"/>
                <w:color w:val="auto"/>
              </w:rPr>
              <w:t>O</w:t>
            </w:r>
            <w:r>
              <w:rPr>
                <w:rFonts w:hint="eastAsia" w:eastAsia="宋体"/>
                <w:color w:val="auto"/>
              </w:rPr>
              <w:t>ption</w:t>
            </w:r>
            <w:r>
              <w:rPr>
                <w:rFonts w:eastAsia="宋体"/>
                <w:color w:val="auto"/>
              </w:rPr>
              <w:t xml:space="preserve"> </w:t>
            </w:r>
            <w:r>
              <w:rPr>
                <w:rFonts w:hint="eastAsia" w:eastAsia="宋体"/>
                <w:color w:val="auto"/>
              </w:rPr>
              <w:t>1</w:t>
            </w:r>
            <w:r>
              <w:rPr>
                <w:rFonts w:eastAsia="宋体"/>
                <w:color w:val="auto"/>
              </w:rPr>
              <w:t>a: The measurement results UE reported should be valid to network. Otherwise there is no need to report.</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816" w:hanging="363" w:firstLineChars="0"/>
              <w:textAlignment w:val="auto"/>
              <w:rPr>
                <w:rFonts w:eastAsia="宋体"/>
                <w:color w:val="auto"/>
              </w:rPr>
            </w:pPr>
            <w:r>
              <w:rPr>
                <w:color w:val="auto"/>
              </w:rPr>
              <w:t xml:space="preserve">Option 1b: No need to report L3 measurement result if UE has no valid measurement results at the time of reporting measurement result. </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816" w:hanging="363" w:firstLineChars="0"/>
              <w:textAlignment w:val="auto"/>
              <w:rPr>
                <w:rFonts w:eastAsia="宋体"/>
                <w:color w:val="auto"/>
              </w:rPr>
            </w:pPr>
            <w:r>
              <w:rPr>
                <w:color w:val="auto"/>
              </w:rPr>
              <w:t>Option 2: The UE may continue the measurement and report a valid L3 measurement result when it is ready, if there is no valid L3 measurement result at the time of SCell activaiton.</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816" w:hanging="363" w:firstLineChars="0"/>
              <w:textAlignment w:val="auto"/>
              <w:rPr>
                <w:rFonts w:eastAsia="宋体"/>
                <w:color w:val="auto"/>
              </w:rPr>
            </w:pPr>
            <w:r>
              <w:rPr>
                <w:rFonts w:eastAsia="宋体"/>
                <w:color w:val="auto"/>
              </w:rPr>
              <w:t>Option 3: If UE has no valid measurement results, UE could report a null value or not report to NW within a given time.</w:t>
            </w:r>
          </w:p>
          <w:p>
            <w:pPr>
              <w:pStyle w:val="28"/>
              <w:keepNext w:val="0"/>
              <w:keepLines w:val="0"/>
              <w:pageBreakBefore w:val="0"/>
              <w:widowControl w:val="0"/>
              <w:numPr>
                <w:ilvl w:val="1"/>
                <w:numId w:val="3"/>
              </w:numPr>
              <w:kinsoku/>
              <w:wordWrap/>
              <w:overflowPunct/>
              <w:topLinePunct w:val="0"/>
              <w:autoSpaceDE/>
              <w:autoSpaceDN/>
              <w:bidi w:val="0"/>
              <w:adjustRightInd/>
              <w:snapToGrid/>
              <w:spacing w:after="0" w:line="240" w:lineRule="auto"/>
              <w:ind w:left="816" w:hanging="363" w:firstLineChars="0"/>
              <w:textAlignment w:val="auto"/>
              <w:rPr>
                <w:rFonts w:hint="eastAsia"/>
                <w:vertAlign w:val="baseline"/>
                <w:lang w:val="en-US" w:eastAsia="zh-CN"/>
              </w:rPr>
            </w:pPr>
            <w:r>
              <w:rPr>
                <w:rFonts w:eastAsia="宋体"/>
                <w:color w:val="auto"/>
              </w:rPr>
              <w:t>Option 4: If UE has no valid measurement results at the L1L2 reporting occasion, UE reports -Inf value, e.g. ‘RSRP&lt;-156dBm’</w:t>
            </w:r>
          </w:p>
        </w:tc>
      </w:tr>
    </w:tbl>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To our understanding, if not any valid measurement results identified at UE side, no need to report. Under such case, if UE reports something invalid or null value, not any useful info obtained at NW side from such report. So the function of such invalid report only lies in the instruction of subsequent behavior between UE and NW. Such function can be effected through directly specifying the subsequent UE behavior for the case of no valid measurement results prepared by UE. From the perspective of NW, no report means no valid report. Once no report received at the NW side, the NW believes such to-be-activated SCell is in unknown case, then the procedure under unknown case would proceed at UE side, i.e. the UE would continue the L3 part components. In a word, we prefer Option 1/1a/1b.</w:t>
      </w:r>
    </w:p>
    <w:p>
      <w:pPr>
        <w:pStyle w:val="4"/>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No need to report L3 measurement reporting after receiving SCell activation command if UE has no valid measurement results. The UE only needs to report valid report if it has.</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Sample number related enhancement for L3 part</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our opinion, the current 2 samples used for AGC can be reduced to 1 sample since SCell activation has much higher SNR side condition compared with other mobility requirement, i.e. -2dB. If combined with the newly mediate state between known and unknown, at least for mediate case, reducing the AGC sample number from 2 to 1 is feasible. Regarding to the unknown case, we are open to discuss whether such sample reduction is applicable to unknown case.</w:t>
      </w:r>
    </w:p>
    <w:p>
      <w:pPr>
        <w:pStyle w:val="4"/>
        <w:rPr>
          <w:lang w:eastAsia="zh-CN"/>
        </w:rPr>
      </w:pPr>
      <w:r>
        <w:rPr>
          <w:rFonts w:hint="eastAsia" w:eastAsia="宋体" w:cs="Times New Roman"/>
          <w:b/>
          <w:bCs/>
          <w:color w:val="auto"/>
          <w:sz w:val="20"/>
          <w:szCs w:val="20"/>
          <w:highlight w:val="none"/>
          <w:lang w:val="en-US" w:eastAsia="zh-CN" w:bidi="ar-SA"/>
        </w:rPr>
        <w:t xml:space="preserve">Proposal 8: The sample of AGC adjustment can be reduced from 2 sample to 1 sample since of higher SNR side condition at least for mediate case.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RS related enhancement for L3 part</w:t>
      </w:r>
    </w:p>
    <w:p>
      <w:pPr>
        <w:pStyle w:val="4"/>
        <w:numPr>
          <w:ilvl w:val="0"/>
          <w:numId w:val="0"/>
        </w:numPr>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FR1:</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RAN4#105 meeting, the following progress for FR1 achieved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r>
              <w:rPr>
                <w:b/>
                <w:bCs/>
                <w:highlight w:val="green"/>
                <w:u w:val="single"/>
                <w:lang w:val="sv-SE" w:eastAsia="ja-JP"/>
              </w:rPr>
              <w:t>Agreement</w:t>
            </w:r>
            <w:r>
              <w:rPr>
                <w:b/>
                <w:bCs/>
                <w:u w:val="single"/>
                <w:lang w:val="sv-SE" w:eastAsia="ja-JP"/>
              </w:rPr>
              <w:t>:</w:t>
            </w:r>
          </w:p>
          <w:p>
            <w:pPr>
              <w:pStyle w:val="28"/>
              <w:keepNext w:val="0"/>
              <w:keepLines w:val="0"/>
              <w:pageBreakBefore w:val="0"/>
              <w:widowControl w:val="0"/>
              <w:numPr>
                <w:ilvl w:val="0"/>
                <w:numId w:val="3"/>
              </w:numPr>
              <w:kinsoku/>
              <w:wordWrap/>
              <w:overflowPunct/>
              <w:topLinePunct w:val="0"/>
              <w:autoSpaceDE/>
              <w:autoSpaceDN/>
              <w:bidi w:val="0"/>
              <w:adjustRightInd/>
              <w:snapToGrid/>
              <w:ind w:left="360" w:hanging="363" w:firstLineChars="0"/>
              <w:textAlignment w:val="auto"/>
            </w:pPr>
            <w:r>
              <w:t>For FR1 SCell activation enhancement</w:t>
            </w:r>
          </w:p>
          <w:p>
            <w:pPr>
              <w:pStyle w:val="28"/>
              <w:keepNext w:val="0"/>
              <w:keepLines w:val="0"/>
              <w:pageBreakBefore w:val="0"/>
              <w:widowControl w:val="0"/>
              <w:numPr>
                <w:ilvl w:val="1"/>
                <w:numId w:val="3"/>
              </w:numPr>
              <w:kinsoku/>
              <w:wordWrap/>
              <w:overflowPunct/>
              <w:topLinePunct w:val="0"/>
              <w:autoSpaceDE/>
              <w:autoSpaceDN/>
              <w:bidi w:val="0"/>
              <w:adjustRightInd/>
              <w:snapToGrid/>
              <w:ind w:left="1080" w:hanging="363" w:firstLineChars="0"/>
              <w:textAlignment w:val="auto"/>
              <w:rPr>
                <w:rFonts w:hint="default" w:eastAsia="宋体"/>
                <w:color w:val="auto"/>
                <w:sz w:val="20"/>
                <w:szCs w:val="20"/>
                <w:highlight w:val="none"/>
                <w:vertAlign w:val="baseline"/>
                <w:lang w:val="en-US" w:eastAsia="zh-CN"/>
              </w:rPr>
            </w:pPr>
            <w:r>
              <w:t>RAN4 to discuss the feasibility of reusing timing information to target unknown FR1 SCell from an FR1 inter-band active serving cell</w:t>
            </w:r>
            <w:r>
              <w:rPr>
                <w:rFonts w:hint="eastAsia"/>
                <w:lang w:val="en-US" w:eastAsia="zh-CN"/>
              </w:rPr>
              <w:t xml:space="preserve"> </w:t>
            </w:r>
          </w:p>
          <w:p>
            <w:pPr>
              <w:pStyle w:val="28"/>
              <w:keepNext w:val="0"/>
              <w:keepLines w:val="0"/>
              <w:pageBreakBefore w:val="0"/>
              <w:widowControl w:val="0"/>
              <w:numPr>
                <w:ilvl w:val="2"/>
                <w:numId w:val="3"/>
              </w:numPr>
              <w:kinsoku/>
              <w:wordWrap/>
              <w:overflowPunct/>
              <w:topLinePunct w:val="0"/>
              <w:autoSpaceDE/>
              <w:autoSpaceDN/>
              <w:bidi w:val="0"/>
              <w:adjustRightInd/>
              <w:snapToGrid/>
              <w:ind w:left="1500" w:leftChars="0" w:hanging="363" w:firstLineChars="0"/>
              <w:textAlignment w:val="auto"/>
              <w:rPr>
                <w:rFonts w:hint="default" w:eastAsia="宋体"/>
                <w:color w:val="auto"/>
                <w:sz w:val="20"/>
                <w:szCs w:val="20"/>
                <w:highlight w:val="none"/>
                <w:vertAlign w:val="baseline"/>
                <w:lang w:val="en-US" w:eastAsia="zh-CN"/>
              </w:rPr>
            </w:pPr>
            <w:r>
              <w:t>FFS the feasibility of configuring QCL type C information from FR1 inter-band active serving cell</w:t>
            </w:r>
            <w:r>
              <w:rPr>
                <w:rFonts w:hint="eastAsia"/>
                <w:lang w:val="en-US" w:eastAsia="zh-CN"/>
              </w:rPr>
              <w:t xml:space="preserve"> </w:t>
            </w:r>
          </w:p>
        </w:tc>
      </w:tr>
    </w:tbl>
    <w:p>
      <w:pPr>
        <w:pStyle w:val="4"/>
        <w:numPr>
          <w:ilvl w:val="0"/>
          <w:numId w:val="0"/>
        </w:num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If the timing of an already active inter-band serving cell can be reused for the to-be-activated SCell, then QCL-Type C info can be shared between inter-band CA. The factors to identify the MRTD between inter-band serving cells is the BS TAE and propagation delay difference. For the deployment of co-located case, as the analysis in our another paper[4], the practical timing difference among different bands should be optimized down to 10ns-65ns which is much less than the normal CP in FR1. So it is feasible to reuse the timing information between inter-band serving cells. Two alternatives were provided in [5] in last meeting as follows.</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696" w:leftChars="0" w:hanging="360" w:firstLineChars="0"/>
        <w:jc w:val="both"/>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Alt 1: expand the definition of QCLed-typeC to indicate the RTD between the SCell being activated and the inter-band active serving cell is within a small range, e.g., ±260ns. RAN4 needs to check with RAN1 for this solution.</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696" w:leftChars="0" w:hanging="360" w:firstLineChars="0"/>
        <w:jc w:val="both"/>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Alt 2: introduce an indication from network to UE to indicate which inter-band active serving cell or which SSB on inter-band active serving cell can be used as timing source for the SCell being activated. RAN4 needs to check with RAN2 for this solution.</w:t>
      </w:r>
    </w:p>
    <w:p>
      <w:pPr>
        <w:pStyle w:val="4"/>
        <w:numPr>
          <w:ilvl w:val="0"/>
          <w:numId w:val="0"/>
        </w:num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our opinion, both of them are workable. Once such timing info can be reused for the to-be-activated SCell, then the latency of time tracking can be ignored, Furthermore, since of FR1, no need to consider the beam info, so in fact the operation of time tracking and L1 part can be skipped, obvious latency reduction can be realized.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Reusing the timing information between inter-band serving cells in FR1 is feasible under some NW deployment. Once such reusing can be achieved, the operation of time tracking and L1 part can be skipped, which leads to obvious latency reduction.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For FR1, NW can indicate the reusing of timing info between inter-band serving cells to UE through two alternatives:</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696" w:leftChars="0" w:hanging="360" w:firstLineChars="0"/>
        <w:jc w:val="both"/>
        <w:textAlignment w:val="auto"/>
        <w:rPr>
          <w:rFonts w:hint="eastAsia" w:ascii="Times New Roman" w:hAnsi="Times New Roman" w:eastAsia="宋体" w:cs="Times New Roman"/>
          <w:b/>
          <w:bCs/>
          <w:color w:val="auto"/>
          <w:kern w:val="0"/>
          <w:sz w:val="20"/>
          <w:szCs w:val="20"/>
          <w:highlight w:val="none"/>
          <w:lang w:val="en-US" w:eastAsia="zh-CN" w:bidi="ar-SA"/>
        </w:rPr>
      </w:pPr>
      <w:r>
        <w:rPr>
          <w:rFonts w:hint="eastAsia" w:ascii="Times New Roman" w:hAnsi="Times New Roman" w:eastAsia="宋体" w:cs="Times New Roman"/>
          <w:b/>
          <w:bCs/>
          <w:color w:val="auto"/>
          <w:kern w:val="0"/>
          <w:sz w:val="20"/>
          <w:szCs w:val="20"/>
          <w:highlight w:val="none"/>
          <w:lang w:val="en-US" w:eastAsia="zh-CN" w:bidi="ar-SA"/>
        </w:rPr>
        <w:t>Alt 1: expand the definition of QCLed-typeC to indicate the RTD between the SCell being activated and the inter-band active serving cell is within a small range, e.g., ±260ns. RAN4 needs to check with RAN1 for this solution.</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696" w:leftChars="0" w:hanging="360" w:firstLineChars="0"/>
        <w:jc w:val="both"/>
        <w:textAlignment w:val="auto"/>
        <w:rPr>
          <w:rFonts w:hint="eastAsia" w:eastAsia="宋体"/>
          <w:color w:val="auto"/>
          <w:sz w:val="20"/>
          <w:szCs w:val="20"/>
          <w:highlight w:val="none"/>
          <w:lang w:val="en-US" w:eastAsia="zh-CN"/>
        </w:rPr>
      </w:pPr>
      <w:r>
        <w:rPr>
          <w:rFonts w:hint="eastAsia" w:ascii="Times New Roman" w:hAnsi="Times New Roman" w:eastAsia="宋体" w:cs="Times New Roman"/>
          <w:b/>
          <w:bCs/>
          <w:color w:val="auto"/>
          <w:kern w:val="0"/>
          <w:sz w:val="20"/>
          <w:szCs w:val="20"/>
          <w:highlight w:val="none"/>
          <w:lang w:val="en-US" w:eastAsia="zh-CN" w:bidi="ar-SA"/>
        </w:rPr>
        <w:t>Alt 2: introduce an indication from network to UE to indicate which inter-band active serving cell or which SSB on inter-band active serving cell can be used as timing source for the SCell being activated. RAN4 needs to check with RAN2 for this solution.</w:t>
      </w:r>
    </w:p>
    <w:p>
      <w:pPr>
        <w:pStyle w:val="28"/>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both"/>
        <w:textAlignment w:val="auto"/>
        <w:rPr>
          <w:rFonts w:hint="eastAsia" w:eastAsia="宋体"/>
          <w:color w:val="auto"/>
          <w:sz w:val="20"/>
          <w:szCs w:val="20"/>
          <w:highlight w:val="none"/>
          <w:lang w:val="en-US" w:eastAsia="zh-CN"/>
        </w:rPr>
      </w:pPr>
    </w:p>
    <w:p>
      <w:pPr>
        <w:pStyle w:val="4"/>
        <w:numPr>
          <w:ilvl w:val="0"/>
          <w:numId w:val="0"/>
        </w:numPr>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FR2:</w:t>
      </w:r>
    </w:p>
    <w:p>
      <w:pPr>
        <w:pStyle w:val="4"/>
        <w:numPr>
          <w:ilvl w:val="0"/>
          <w:numId w:val="0"/>
        </w:numPr>
        <w:rPr>
          <w:rFonts w:hint="default" w:eastAsia="宋体"/>
          <w:color w:val="auto"/>
          <w:sz w:val="20"/>
          <w:szCs w:val="20"/>
          <w:highlight w:val="none"/>
          <w:u w:val="single"/>
          <w:lang w:val="en-US" w:eastAsia="zh-CN"/>
        </w:rPr>
      </w:pPr>
      <w:r>
        <w:rPr>
          <w:rFonts w:hint="eastAsia" w:eastAsia="宋体"/>
          <w:color w:val="auto"/>
          <w:sz w:val="20"/>
          <w:szCs w:val="20"/>
          <w:highlight w:val="none"/>
          <w:lang w:val="en-US" w:eastAsia="zh-CN"/>
        </w:rPr>
        <w:t>It has been approved in RAN4#105 meeting, in FR2, RAN4 does not consider reusing timing and Rx beam to target unknown FR2 SCell based on QCLed type C/D information from an inter-band active serving cell. So for FR2, we can not see additional enhancement.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 from L3 part</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To avoid additional workload to discuss how to define a mediate state between known and unknown in spec, only such solution is applied but not any new terminology is introduced in this WI.</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report triggering, triggering by the SCell activation command is the most straightforward solution. We do not believe it is necessary to trigger such report in advance of SCell activation triggering.</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An additional mediate state is considered for the whole procedure. Regarding to the exact condition between different states, legacy known condition can be reused to detect whether belong to known state. While the legacy unknown state is splitted into mediate state and unknown state.</w:t>
      </w:r>
    </w:p>
    <w:p>
      <w:pPr>
        <w:pStyle w:val="4"/>
        <w:rPr>
          <w:rFonts w:hint="eastAsia"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4: Under the case of mediate state, the UE has to transmit quick report to NW to inform its optimized SSB index and the corresponding RSRP/RSRQ. After such valid quick report, the UE in mediate state applies the subsequent procedure same as known case.</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pPr>
        <w:pStyle w:val="4"/>
        <w:numPr>
          <w:ilvl w:val="0"/>
          <w:numId w:val="0"/>
        </w:numPr>
        <w:ind w:leftChars="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1: Regarding to whether the report is fresh enough or not, NW can not recognize, in fact the legacy L3 report is also in the same situation. So it is not a new issue.</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2: If a poor measurement result is fed back to the NW, the NW can not obtain useful RSRP and SSB index info from such quick report.</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To address the concern of the quick report is valid or not, the verification lies in two aspects:</w:t>
      </w:r>
    </w:p>
    <w:p>
      <w:pPr>
        <w:pStyle w:val="4"/>
        <w:numPr>
          <w:ilvl w:val="0"/>
          <w:numId w:val="10"/>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Whether the measurement report is fresh enough. </w:t>
      </w:r>
    </w:p>
    <w:p>
      <w:pPr>
        <w:pStyle w:val="4"/>
        <w:numPr>
          <w:ilvl w:val="0"/>
          <w:numId w:val="10"/>
        </w:numPr>
        <w:ind w:left="0" w:leftChars="0" w:firstLine="0" w:firstLineChars="0"/>
        <w:rPr>
          <w:rFonts w:hint="default" w:eastAsia="宋体" w:cs="Times New Roman"/>
          <w:b/>
          <w:bCs/>
          <w:color w:val="auto"/>
          <w:sz w:val="20"/>
          <w:szCs w:val="20"/>
          <w:highlight w:val="none"/>
          <w:lang w:val="en-US" w:eastAsia="zh-CN" w:bidi="ar-SA"/>
        </w:rPr>
      </w:pPr>
      <w:bookmarkStart w:id="0" w:name="_GoBack"/>
      <w:bookmarkEnd w:id="0"/>
      <w:r>
        <w:rPr>
          <w:rFonts w:hint="eastAsia" w:eastAsia="宋体" w:cs="Times New Roman"/>
          <w:b/>
          <w:bCs/>
          <w:color w:val="auto"/>
          <w:sz w:val="20"/>
          <w:szCs w:val="20"/>
          <w:highlight w:val="none"/>
          <w:lang w:val="en-US" w:eastAsia="zh-CN" w:bidi="ar-SA"/>
        </w:rPr>
        <w:t>Whether the quality of measurement result in the report is good or available enough.</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The 1</w:t>
      </w:r>
      <w:r>
        <w:rPr>
          <w:rFonts w:hint="eastAsia" w:eastAsia="宋体" w:cs="Times New Roman"/>
          <w:b/>
          <w:bCs/>
          <w:color w:val="auto"/>
          <w:sz w:val="20"/>
          <w:szCs w:val="20"/>
          <w:highlight w:val="none"/>
          <w:vertAlign w:val="superscript"/>
          <w:lang w:val="en-US" w:eastAsia="zh-CN" w:bidi="ar-SA"/>
        </w:rPr>
        <w:t>st</w:t>
      </w:r>
      <w:r>
        <w:rPr>
          <w:rFonts w:hint="eastAsia" w:eastAsia="宋体" w:cs="Times New Roman"/>
          <w:b/>
          <w:bCs/>
          <w:color w:val="auto"/>
          <w:sz w:val="20"/>
          <w:szCs w:val="20"/>
          <w:highlight w:val="none"/>
          <w:lang w:val="en-US" w:eastAsia="zh-CN" w:bidi="ar-SA"/>
        </w:rPr>
        <w:t xml:space="preserve"> aspect can be ignored since same issue exists in legacy L3 report. The 2</w:t>
      </w:r>
      <w:r>
        <w:rPr>
          <w:rFonts w:hint="eastAsia" w:eastAsia="宋体" w:cs="Times New Roman"/>
          <w:b/>
          <w:bCs/>
          <w:color w:val="auto"/>
          <w:sz w:val="20"/>
          <w:szCs w:val="20"/>
          <w:highlight w:val="none"/>
          <w:vertAlign w:val="superscript"/>
          <w:lang w:val="en-US" w:eastAsia="zh-CN" w:bidi="ar-SA"/>
        </w:rPr>
        <w:t>nd</w:t>
      </w:r>
      <w:r>
        <w:rPr>
          <w:rFonts w:hint="eastAsia" w:eastAsia="宋体" w:cs="Times New Roman"/>
          <w:b/>
          <w:bCs/>
          <w:color w:val="auto"/>
          <w:sz w:val="20"/>
          <w:szCs w:val="20"/>
          <w:highlight w:val="none"/>
          <w:lang w:val="en-US" w:eastAsia="zh-CN" w:bidi="ar-SA"/>
        </w:rPr>
        <w:t xml:space="preserve"> aspect should be considered to guarantee the NW can obtain useful RSRP and SSB index info from the report.</w:t>
      </w:r>
    </w:p>
    <w:p>
      <w:pPr>
        <w:pStyle w:val="4"/>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No need to report L3 measurement reporting after receiving SCell activation command if UE has no valid measurement results. The UE only needs to report valid report if it has.</w:t>
      </w:r>
    </w:p>
    <w:p>
      <w:pPr>
        <w:pStyle w:val="4"/>
        <w:rPr>
          <w:lang w:eastAsia="zh-CN"/>
        </w:rPr>
      </w:pPr>
      <w:r>
        <w:rPr>
          <w:rFonts w:hint="eastAsia" w:eastAsia="宋体" w:cs="Times New Roman"/>
          <w:b/>
          <w:bCs/>
          <w:color w:val="auto"/>
          <w:sz w:val="20"/>
          <w:szCs w:val="20"/>
          <w:highlight w:val="none"/>
          <w:lang w:val="en-US" w:eastAsia="zh-CN" w:bidi="ar-SA"/>
        </w:rPr>
        <w:t xml:space="preserve">Proposal 8: The sample of AGC adjustment can be reduced from 2 sample to 1 sample since of higher SNR side condition at least for mediate case.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Reusing the timing information between inter-band serving cells is feasible in FR1 is feasible under some NW deployment. Once such reusing can be achieved, the operation of time tracking and L1 part can be skipped, which leads to obvious latency reduction.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For FR1, NW can indicate the reusing of timing info between inter-band serving cells to UE through two alternatives:</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696" w:leftChars="0" w:hanging="360" w:firstLineChars="0"/>
        <w:jc w:val="both"/>
        <w:textAlignment w:val="auto"/>
        <w:rPr>
          <w:rFonts w:hint="eastAsia" w:ascii="Times New Roman" w:hAnsi="Times New Roman" w:eastAsia="宋体" w:cs="Times New Roman"/>
          <w:b/>
          <w:bCs/>
          <w:color w:val="auto"/>
          <w:kern w:val="0"/>
          <w:sz w:val="20"/>
          <w:szCs w:val="20"/>
          <w:highlight w:val="none"/>
          <w:lang w:val="en-US" w:eastAsia="zh-CN" w:bidi="ar-SA"/>
        </w:rPr>
      </w:pPr>
      <w:r>
        <w:rPr>
          <w:rFonts w:hint="eastAsia" w:ascii="Times New Roman" w:hAnsi="Times New Roman" w:eastAsia="宋体" w:cs="Times New Roman"/>
          <w:b/>
          <w:bCs/>
          <w:color w:val="auto"/>
          <w:kern w:val="0"/>
          <w:sz w:val="20"/>
          <w:szCs w:val="20"/>
          <w:highlight w:val="none"/>
          <w:lang w:val="en-US" w:eastAsia="zh-CN" w:bidi="ar-SA"/>
        </w:rPr>
        <w:t>Alt 1: expand the definition of QCLed-typeC to indicate the RTD between the SCell being activated and the inter-band active serving cell is within a small range, e.g., ±260ns. RAN4 needs to check with RAN1 for this solution.</w:t>
      </w:r>
    </w:p>
    <w:p>
      <w:pPr>
        <w:pStyle w:val="28"/>
        <w:keepNext w:val="0"/>
        <w:keepLines w:val="0"/>
        <w:pageBreakBefore w:val="0"/>
        <w:widowControl w:val="0"/>
        <w:numPr>
          <w:ilvl w:val="2"/>
          <w:numId w:val="3"/>
        </w:numPr>
        <w:kinsoku/>
        <w:wordWrap/>
        <w:overflowPunct/>
        <w:topLinePunct w:val="0"/>
        <w:autoSpaceDE/>
        <w:autoSpaceDN/>
        <w:bidi w:val="0"/>
        <w:adjustRightInd/>
        <w:snapToGrid/>
        <w:spacing w:after="0" w:line="240" w:lineRule="auto"/>
        <w:ind w:left="696" w:leftChars="0" w:hanging="360" w:firstLineChars="0"/>
        <w:jc w:val="both"/>
        <w:textAlignment w:val="auto"/>
        <w:rPr>
          <w:rFonts w:hint="eastAsia" w:eastAsia="宋体"/>
          <w:color w:val="auto"/>
          <w:sz w:val="20"/>
          <w:szCs w:val="20"/>
          <w:highlight w:val="none"/>
          <w:lang w:val="en-US" w:eastAsia="zh-CN"/>
        </w:rPr>
      </w:pPr>
      <w:r>
        <w:rPr>
          <w:rFonts w:hint="eastAsia" w:ascii="Times New Roman" w:hAnsi="Times New Roman" w:eastAsia="宋体" w:cs="Times New Roman"/>
          <w:b/>
          <w:bCs/>
          <w:color w:val="auto"/>
          <w:kern w:val="0"/>
          <w:sz w:val="20"/>
          <w:szCs w:val="20"/>
          <w:highlight w:val="none"/>
          <w:lang w:val="en-US" w:eastAsia="zh-CN" w:bidi="ar-SA"/>
        </w:rPr>
        <w:t>Alt 2: introduce an indication from network to UE to indicate which inter-band active serving cell or which SSB on inter-band active serving cell can be used as timing source for the SCell being activated. RAN4 needs to check with RAN2 for this solution.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lang w:val="en-US" w:eastAsia="zh-CN"/>
        </w:rPr>
      </w:pPr>
      <w:r>
        <w:rPr>
          <w:rFonts w:hint="eastAsia"/>
          <w:color w:val="auto"/>
          <w:lang w:val="en-US" w:eastAsia="zh-CN"/>
        </w:rPr>
        <w:t xml:space="preserve">[1] R4-2303228 </w:t>
      </w:r>
      <w:r>
        <w:rPr>
          <w:rFonts w:hint="default"/>
          <w:color w:val="auto"/>
          <w:lang w:val="en-US" w:eastAsia="zh-CN"/>
        </w:rPr>
        <w:t>“Way forward on R18 RRM enhancement (part 1)”</w:t>
      </w:r>
      <w:r>
        <w:rPr>
          <w:rFonts w:hint="eastAsia"/>
          <w:color w:val="auto"/>
          <w:lang w:val="en-US" w:eastAsia="zh-CN"/>
        </w:rPr>
        <w:t>, Apple</w:t>
      </w:r>
    </w:p>
    <w:p>
      <w:pPr>
        <w:pStyle w:val="9"/>
        <w:numPr>
          <w:ilvl w:val="0"/>
          <w:numId w:val="0"/>
        </w:numPr>
        <w:ind w:leftChars="0"/>
        <w:rPr>
          <w:rFonts w:hint="eastAsia"/>
          <w:color w:val="auto"/>
          <w:lang w:val="en-US" w:eastAsia="zh-CN"/>
        </w:rPr>
      </w:pPr>
      <w:r>
        <w:rPr>
          <w:rFonts w:hint="eastAsia"/>
          <w:color w:val="auto"/>
          <w:lang w:val="en-US" w:eastAsia="zh-CN"/>
        </w:rPr>
        <w:t>[2] TS 38.133-h80</w:t>
      </w:r>
    </w:p>
    <w:p>
      <w:pPr>
        <w:pStyle w:val="9"/>
        <w:numPr>
          <w:ilvl w:val="0"/>
          <w:numId w:val="0"/>
        </w:numPr>
        <w:ind w:leftChars="0"/>
        <w:rPr>
          <w:rFonts w:hint="eastAsia"/>
          <w:color w:val="auto"/>
          <w:lang w:val="en-US" w:eastAsia="zh-CN"/>
        </w:rPr>
      </w:pPr>
      <w:r>
        <w:rPr>
          <w:rFonts w:hint="eastAsia"/>
          <w:color w:val="auto"/>
          <w:lang w:val="en-US" w:eastAsia="zh-CN"/>
        </w:rPr>
        <w:t>[3] TS 38.331-h30</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[4] R4-2304987 </w:t>
      </w:r>
      <w:r>
        <w:rPr>
          <w:rFonts w:hint="default"/>
          <w:color w:val="auto"/>
          <w:highlight w:val="none"/>
          <w:lang w:val="en-US" w:eastAsia="zh-CN"/>
        </w:rPr>
        <w:t>“</w:t>
      </w:r>
      <w:r>
        <w:rPr>
          <w:rFonts w:hint="eastAsia"/>
          <w:color w:val="auto"/>
          <w:highlight w:val="none"/>
          <w:lang w:val="en-US" w:eastAsia="zh-CN"/>
        </w:rPr>
        <w:t>Discussion on other aspects of RRM requirements enhancement for FR2 SCell activation delay reduction</w:t>
      </w:r>
      <w:r>
        <w:rPr>
          <w:rFonts w:hint="default"/>
          <w:color w:val="auto"/>
          <w:highlight w:val="none"/>
          <w:lang w:val="en-US" w:eastAsia="zh-CN"/>
        </w:rPr>
        <w:t>”</w:t>
      </w:r>
      <w:r>
        <w:rPr>
          <w:rFonts w:hint="eastAsia"/>
          <w:color w:val="auto"/>
          <w:highlight w:val="none"/>
          <w:lang w:val="en-US" w:eastAsia="zh-CN"/>
        </w:rPr>
        <w:t>, ZTE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[5] R4-2300280 </w:t>
      </w:r>
      <w:r>
        <w:rPr>
          <w:rFonts w:hint="default"/>
          <w:color w:val="auto"/>
          <w:highlight w:val="none"/>
          <w:lang w:val="en-US" w:eastAsia="zh-CN"/>
        </w:rPr>
        <w:t>“On L3 part enhancement for FR2 SCell activation”</w:t>
      </w:r>
      <w:r>
        <w:rPr>
          <w:rFonts w:hint="eastAsia"/>
          <w:color w:val="auto"/>
          <w:highlight w:val="none"/>
          <w:lang w:val="en-US" w:eastAsia="zh-CN"/>
        </w:rPr>
        <w:t>, Apple</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931640"/>
    <w:multiLevelType w:val="singleLevel"/>
    <w:tmpl w:val="89931640"/>
    <w:lvl w:ilvl="0" w:tentative="0">
      <w:start w:val="1"/>
      <w:numFmt w:val="bullet"/>
      <w:lvlText w:val=""/>
      <w:lvlJc w:val="left"/>
      <w:pPr>
        <w:ind w:left="420" w:hanging="420"/>
      </w:pPr>
      <w:rPr>
        <w:rFonts w:hint="default" w:ascii="Wingdings" w:hAnsi="Wingdings"/>
      </w:rPr>
    </w:lvl>
  </w:abstractNum>
  <w:abstractNum w:abstractNumId="1">
    <w:nsid w:val="8A6F39B3"/>
    <w:multiLevelType w:val="singleLevel"/>
    <w:tmpl w:val="8A6F39B3"/>
    <w:lvl w:ilvl="0" w:tentative="0">
      <w:start w:val="1"/>
      <w:numFmt w:val="bullet"/>
      <w:lvlText w:val=""/>
      <w:lvlJc w:val="left"/>
      <w:pPr>
        <w:ind w:left="420" w:hanging="420"/>
      </w:pPr>
      <w:rPr>
        <w:rFonts w:hint="default" w:ascii="Wingdings" w:hAnsi="Wingdings"/>
      </w:rPr>
    </w:lvl>
  </w:abstractNum>
  <w:abstractNum w:abstractNumId="2">
    <w:nsid w:val="B1364EF4"/>
    <w:multiLevelType w:val="singleLevel"/>
    <w:tmpl w:val="B1364EF4"/>
    <w:lvl w:ilvl="0" w:tentative="0">
      <w:start w:val="1"/>
      <w:numFmt w:val="decimal"/>
      <w:suff w:val="space"/>
      <w:lvlText w:val="%1)"/>
      <w:lvlJc w:val="left"/>
    </w:lvl>
  </w:abstractNum>
  <w:abstractNum w:abstractNumId="3">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4">
    <w:nsid w:val="CF249F7E"/>
    <w:multiLevelType w:val="singleLevel"/>
    <w:tmpl w:val="CF249F7E"/>
    <w:lvl w:ilvl="0" w:tentative="0">
      <w:start w:val="1"/>
      <w:numFmt w:val="decimal"/>
      <w:suff w:val="space"/>
      <w:lvlText w:val="%1)"/>
      <w:lvlJc w:val="left"/>
    </w:lvl>
  </w:abstractNum>
  <w:abstractNum w:abstractNumId="5">
    <w:nsid w:val="D88ECD93"/>
    <w:multiLevelType w:val="singleLevel"/>
    <w:tmpl w:val="D88ECD93"/>
    <w:lvl w:ilvl="0" w:tentative="0">
      <w:start w:val="1"/>
      <w:numFmt w:val="bullet"/>
      <w:lvlText w:val=""/>
      <w:lvlJc w:val="left"/>
      <w:pPr>
        <w:ind w:left="42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1680"/>
        </w:tabs>
        <w:ind w:left="-744" w:hanging="360"/>
      </w:pPr>
      <w:rPr>
        <w:rFonts w:hint="default" w:ascii="Symbol" w:hAnsi="Symbol"/>
      </w:rPr>
    </w:lvl>
    <w:lvl w:ilvl="1" w:tentative="0">
      <w:start w:val="1"/>
      <w:numFmt w:val="bullet"/>
      <w:pStyle w:val="58"/>
      <w:lvlText w:val="o"/>
      <w:lvlJc w:val="left"/>
      <w:pPr>
        <w:tabs>
          <w:tab w:val="left" w:pos="-1680"/>
        </w:tabs>
        <w:ind w:left="-24" w:hanging="360"/>
      </w:pPr>
      <w:rPr>
        <w:rFonts w:hint="default" w:ascii="Courier New" w:hAnsi="Courier New" w:cs="Courier New"/>
      </w:rPr>
    </w:lvl>
    <w:lvl w:ilvl="2" w:tentative="0">
      <w:start w:val="1"/>
      <w:numFmt w:val="bullet"/>
      <w:lvlText w:val=""/>
      <w:lvlJc w:val="left"/>
      <w:pPr>
        <w:tabs>
          <w:tab w:val="left" w:pos="-1680"/>
        </w:tabs>
        <w:ind w:left="696" w:hanging="360"/>
      </w:pPr>
      <w:rPr>
        <w:rFonts w:hint="default" w:ascii="Wingdings" w:hAnsi="Wingdings"/>
      </w:rPr>
    </w:lvl>
    <w:lvl w:ilvl="3" w:tentative="0">
      <w:start w:val="1"/>
      <w:numFmt w:val="bullet"/>
      <w:lvlText w:val=""/>
      <w:lvlJc w:val="left"/>
      <w:pPr>
        <w:tabs>
          <w:tab w:val="left" w:pos="-1680"/>
        </w:tabs>
        <w:ind w:left="1416" w:hanging="360"/>
      </w:pPr>
      <w:rPr>
        <w:rFonts w:hint="default" w:ascii="Symbol" w:hAnsi="Symbol"/>
      </w:rPr>
    </w:lvl>
    <w:lvl w:ilvl="4" w:tentative="0">
      <w:start w:val="1"/>
      <w:numFmt w:val="bullet"/>
      <w:lvlText w:val="o"/>
      <w:lvlJc w:val="left"/>
      <w:pPr>
        <w:tabs>
          <w:tab w:val="left" w:pos="-1680"/>
        </w:tabs>
        <w:ind w:left="2136" w:hanging="360"/>
      </w:pPr>
      <w:rPr>
        <w:rFonts w:hint="default" w:ascii="Courier New" w:hAnsi="Courier New" w:cs="Courier New"/>
      </w:rPr>
    </w:lvl>
    <w:lvl w:ilvl="5" w:tentative="0">
      <w:start w:val="1"/>
      <w:numFmt w:val="bullet"/>
      <w:lvlText w:val=""/>
      <w:lvlJc w:val="left"/>
      <w:pPr>
        <w:tabs>
          <w:tab w:val="left" w:pos="-1680"/>
        </w:tabs>
        <w:ind w:left="2856" w:hanging="360"/>
      </w:pPr>
      <w:rPr>
        <w:rFonts w:hint="default" w:ascii="Wingdings" w:hAnsi="Wingdings"/>
      </w:rPr>
    </w:lvl>
    <w:lvl w:ilvl="6" w:tentative="0">
      <w:start w:val="1"/>
      <w:numFmt w:val="bullet"/>
      <w:lvlText w:val=""/>
      <w:lvlJc w:val="left"/>
      <w:pPr>
        <w:tabs>
          <w:tab w:val="left" w:pos="-1680"/>
        </w:tabs>
        <w:ind w:left="3576" w:hanging="360"/>
      </w:pPr>
      <w:rPr>
        <w:rFonts w:hint="default" w:ascii="Symbol" w:hAnsi="Symbol"/>
      </w:rPr>
    </w:lvl>
    <w:lvl w:ilvl="7" w:tentative="0">
      <w:start w:val="1"/>
      <w:numFmt w:val="bullet"/>
      <w:lvlText w:val="o"/>
      <w:lvlJc w:val="left"/>
      <w:pPr>
        <w:tabs>
          <w:tab w:val="left" w:pos="-1680"/>
        </w:tabs>
        <w:ind w:left="4296" w:hanging="360"/>
      </w:pPr>
      <w:rPr>
        <w:rFonts w:hint="default" w:ascii="Courier New" w:hAnsi="Courier New" w:cs="Courier New"/>
      </w:rPr>
    </w:lvl>
    <w:lvl w:ilvl="8" w:tentative="0">
      <w:start w:val="1"/>
      <w:numFmt w:val="bullet"/>
      <w:lvlText w:val=""/>
      <w:lvlJc w:val="left"/>
      <w:pPr>
        <w:tabs>
          <w:tab w:val="left" w:pos="-1680"/>
        </w:tabs>
        <w:ind w:left="5016"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num w:numId="1">
    <w:abstractNumId w:val="9"/>
  </w:num>
  <w:num w:numId="2">
    <w:abstractNumId w:val="7"/>
  </w:num>
  <w:num w:numId="3">
    <w:abstractNumId w:val="8"/>
  </w:num>
  <w:num w:numId="4">
    <w:abstractNumId w:val="6"/>
  </w:num>
  <w:num w:numId="5">
    <w:abstractNumId w:val="3"/>
  </w:num>
  <w:num w:numId="6">
    <w:abstractNumId w:val="1"/>
  </w:num>
  <w:num w:numId="7">
    <w:abstractNumId w:val="5"/>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10997F43"/>
    <w:rsid w:val="10DE7BAE"/>
    <w:rsid w:val="120774A3"/>
    <w:rsid w:val="12866C44"/>
    <w:rsid w:val="136B3851"/>
    <w:rsid w:val="13B66EB5"/>
    <w:rsid w:val="14006D19"/>
    <w:rsid w:val="14337DBF"/>
    <w:rsid w:val="1481754F"/>
    <w:rsid w:val="148F5721"/>
    <w:rsid w:val="14AC57CD"/>
    <w:rsid w:val="14B90DF6"/>
    <w:rsid w:val="15C37DEC"/>
    <w:rsid w:val="15ED3E9B"/>
    <w:rsid w:val="164514BE"/>
    <w:rsid w:val="16CD72CF"/>
    <w:rsid w:val="17065891"/>
    <w:rsid w:val="170F06AA"/>
    <w:rsid w:val="17225508"/>
    <w:rsid w:val="17564923"/>
    <w:rsid w:val="180A6E32"/>
    <w:rsid w:val="1825042E"/>
    <w:rsid w:val="183F2CD2"/>
    <w:rsid w:val="1856323E"/>
    <w:rsid w:val="18AF55E3"/>
    <w:rsid w:val="18B1519A"/>
    <w:rsid w:val="18CD0507"/>
    <w:rsid w:val="195D7D48"/>
    <w:rsid w:val="197B756F"/>
    <w:rsid w:val="19960536"/>
    <w:rsid w:val="1AD01A1B"/>
    <w:rsid w:val="1B3C3255"/>
    <w:rsid w:val="1B61065A"/>
    <w:rsid w:val="1B731483"/>
    <w:rsid w:val="1BBF3927"/>
    <w:rsid w:val="1C177B08"/>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C806F7"/>
    <w:rsid w:val="21014C39"/>
    <w:rsid w:val="21244EB1"/>
    <w:rsid w:val="213964D8"/>
    <w:rsid w:val="21595D04"/>
    <w:rsid w:val="21F13629"/>
    <w:rsid w:val="2305377E"/>
    <w:rsid w:val="24122135"/>
    <w:rsid w:val="24220030"/>
    <w:rsid w:val="24D4257E"/>
    <w:rsid w:val="24D7783C"/>
    <w:rsid w:val="25490B44"/>
    <w:rsid w:val="2572202B"/>
    <w:rsid w:val="2605683C"/>
    <w:rsid w:val="260C4DC9"/>
    <w:rsid w:val="269452A9"/>
    <w:rsid w:val="26BB1419"/>
    <w:rsid w:val="273D2956"/>
    <w:rsid w:val="27B748AA"/>
    <w:rsid w:val="27CB4CB9"/>
    <w:rsid w:val="27D31A52"/>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509099B"/>
    <w:rsid w:val="35B06C6A"/>
    <w:rsid w:val="36941AA2"/>
    <w:rsid w:val="36D37423"/>
    <w:rsid w:val="379D23F9"/>
    <w:rsid w:val="37E12984"/>
    <w:rsid w:val="3840202A"/>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7185425"/>
    <w:rsid w:val="47282363"/>
    <w:rsid w:val="49525C50"/>
    <w:rsid w:val="49DC4EAC"/>
    <w:rsid w:val="49E55BC5"/>
    <w:rsid w:val="4BF24EEB"/>
    <w:rsid w:val="4C1C63D6"/>
    <w:rsid w:val="4C864A35"/>
    <w:rsid w:val="4CB867ED"/>
    <w:rsid w:val="4CD61886"/>
    <w:rsid w:val="4E015C76"/>
    <w:rsid w:val="4E310026"/>
    <w:rsid w:val="4E4A2325"/>
    <w:rsid w:val="4F2D3B14"/>
    <w:rsid w:val="4F5C5331"/>
    <w:rsid w:val="501A6C55"/>
    <w:rsid w:val="505E1A7C"/>
    <w:rsid w:val="5086431A"/>
    <w:rsid w:val="51B14BED"/>
    <w:rsid w:val="52313D62"/>
    <w:rsid w:val="52526454"/>
    <w:rsid w:val="525C1CEF"/>
    <w:rsid w:val="528B5767"/>
    <w:rsid w:val="52D33625"/>
    <w:rsid w:val="53A3105E"/>
    <w:rsid w:val="53C64B93"/>
    <w:rsid w:val="54283FDA"/>
    <w:rsid w:val="548A6C60"/>
    <w:rsid w:val="55B1164D"/>
    <w:rsid w:val="55B4735E"/>
    <w:rsid w:val="55BB221D"/>
    <w:rsid w:val="55F52EA4"/>
    <w:rsid w:val="56371459"/>
    <w:rsid w:val="56484633"/>
    <w:rsid w:val="56EB15F8"/>
    <w:rsid w:val="58D0053D"/>
    <w:rsid w:val="598C40A0"/>
    <w:rsid w:val="59DA647E"/>
    <w:rsid w:val="5A472BD1"/>
    <w:rsid w:val="5A556E1A"/>
    <w:rsid w:val="5C094F4D"/>
    <w:rsid w:val="5C876D53"/>
    <w:rsid w:val="5CFD1122"/>
    <w:rsid w:val="5E2864D0"/>
    <w:rsid w:val="5E494511"/>
    <w:rsid w:val="5E531A2E"/>
    <w:rsid w:val="5EB44FC0"/>
    <w:rsid w:val="5FBA395F"/>
    <w:rsid w:val="60EC2CBA"/>
    <w:rsid w:val="61CC2D28"/>
    <w:rsid w:val="63476641"/>
    <w:rsid w:val="635902CD"/>
    <w:rsid w:val="635E6E54"/>
    <w:rsid w:val="640F0A9C"/>
    <w:rsid w:val="64706BBE"/>
    <w:rsid w:val="64F2095B"/>
    <w:rsid w:val="67A858DB"/>
    <w:rsid w:val="67FE4166"/>
    <w:rsid w:val="68C401C3"/>
    <w:rsid w:val="69A833BD"/>
    <w:rsid w:val="6A9360AB"/>
    <w:rsid w:val="6AB215EC"/>
    <w:rsid w:val="6C742572"/>
    <w:rsid w:val="6C952210"/>
    <w:rsid w:val="6D023321"/>
    <w:rsid w:val="6D452195"/>
    <w:rsid w:val="6D566F0F"/>
    <w:rsid w:val="6D836F72"/>
    <w:rsid w:val="6D944C6F"/>
    <w:rsid w:val="6DDE3DAF"/>
    <w:rsid w:val="6E3241BE"/>
    <w:rsid w:val="6E92081A"/>
    <w:rsid w:val="6EB97A9D"/>
    <w:rsid w:val="6EF10A90"/>
    <w:rsid w:val="6EF77781"/>
    <w:rsid w:val="6F7F3578"/>
    <w:rsid w:val="6FA020C5"/>
    <w:rsid w:val="6FFF1868"/>
    <w:rsid w:val="715F4C2D"/>
    <w:rsid w:val="71605362"/>
    <w:rsid w:val="71C020E8"/>
    <w:rsid w:val="722F78FB"/>
    <w:rsid w:val="723D67C5"/>
    <w:rsid w:val="72BF60CA"/>
    <w:rsid w:val="72F41282"/>
    <w:rsid w:val="733D0D32"/>
    <w:rsid w:val="73D411F1"/>
    <w:rsid w:val="744E0E29"/>
    <w:rsid w:val="753811DE"/>
    <w:rsid w:val="75A854A2"/>
    <w:rsid w:val="75BE67D4"/>
    <w:rsid w:val="75C2004C"/>
    <w:rsid w:val="75C759C1"/>
    <w:rsid w:val="762D64F3"/>
    <w:rsid w:val="766B63D6"/>
    <w:rsid w:val="767E7EFF"/>
    <w:rsid w:val="775B4604"/>
    <w:rsid w:val="77C067C3"/>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 w:type="paragraph" w:customStyle="1" w:styleId="58">
    <w:name w:val="样式3"/>
    <w:basedOn w:val="28"/>
    <w:qFormat/>
    <w:uiPriority w:val="0"/>
    <w:pPr>
      <w:numPr>
        <w:ilvl w:val="1"/>
        <w:numId w:val="3"/>
      </w:numPr>
      <w:tabs>
        <w:tab w:val="left" w:pos="-840"/>
        <w:tab w:val="clear" w:pos="-1680"/>
      </w:tabs>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2023-04-10T10:23:12Z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